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259" w:type="dxa"/>
        <w:jc w:val="center"/>
        <w:tblLook w:val="01E0" w:firstRow="1" w:lastRow="1" w:firstColumn="1" w:lastColumn="1" w:noHBand="0" w:noVBand="0"/>
      </w:tblPr>
      <w:tblGrid>
        <w:gridCol w:w="5552"/>
        <w:gridCol w:w="8707"/>
      </w:tblGrid>
      <w:tr w:rsidR="002D75BA" w:rsidRPr="002D75BA" w14:paraId="0E9B9E03" w14:textId="77777777" w:rsidTr="000F218D">
        <w:trPr>
          <w:trHeight w:val="578"/>
          <w:jc w:val="center"/>
        </w:trPr>
        <w:tc>
          <w:tcPr>
            <w:tcW w:w="5552" w:type="dxa"/>
          </w:tcPr>
          <w:p w14:paraId="11BF4AB5" w14:textId="77777777" w:rsidR="002D75BA" w:rsidRPr="002D75BA" w:rsidRDefault="002D75BA" w:rsidP="002D75BA">
            <w:pPr>
              <w:spacing w:before="0"/>
              <w:jc w:val="center"/>
              <w:rPr>
                <w:rFonts w:eastAsia="Times New Roman" w:cs="Times New Roman"/>
                <w:sz w:val="26"/>
              </w:rPr>
            </w:pPr>
            <w:bookmarkStart w:id="0" w:name="_GoBack"/>
            <w:bookmarkEnd w:id="0"/>
            <w:r w:rsidRPr="002D75BA">
              <w:rPr>
                <w:rFonts w:eastAsia="Times New Roman" w:cs="Times New Roman"/>
                <w:sz w:val="26"/>
              </w:rPr>
              <w:t>UBND THÀNH PHỐ HÀ NỘI</w:t>
            </w:r>
          </w:p>
          <w:p w14:paraId="7033465C" w14:textId="77777777" w:rsidR="002D75BA" w:rsidRDefault="002D75BA" w:rsidP="002D75BA">
            <w:pPr>
              <w:spacing w:before="0"/>
              <w:jc w:val="center"/>
              <w:rPr>
                <w:rFonts w:eastAsia="Times New Roman" w:cs="Times New Roman"/>
                <w:b/>
                <w:sz w:val="26"/>
              </w:rPr>
            </w:pPr>
            <w:r w:rsidRPr="002D75BA">
              <w:rPr>
                <w:rFonts w:eastAsia="Times New Roman" w:cs="Times New Roman"/>
                <w:b/>
                <w:sz w:val="26"/>
              </w:rPr>
              <w:t>SỞ TÀI CHÍNH</w:t>
            </w:r>
          </w:p>
          <w:p w14:paraId="72A1AF75" w14:textId="560DD2AA" w:rsidR="002D75BA" w:rsidRPr="002D75BA" w:rsidRDefault="002D75BA" w:rsidP="002D75BA">
            <w:pPr>
              <w:spacing w:before="0"/>
              <w:jc w:val="center"/>
              <w:rPr>
                <w:rFonts w:eastAsia="Times New Roman" w:cs="Times New Roman"/>
                <w:b/>
                <w:sz w:val="24"/>
                <w:szCs w:val="20"/>
                <w:vertAlign w:val="superscript"/>
              </w:rPr>
            </w:pPr>
            <w:r w:rsidRPr="002D75BA">
              <w:rPr>
                <w:rFonts w:eastAsia="Times New Roman" w:cs="Times New Roman"/>
                <w:b/>
                <w:sz w:val="16"/>
                <w:szCs w:val="14"/>
                <w:vertAlign w:val="superscript"/>
              </w:rPr>
              <w:t>___________________</w:t>
            </w:r>
          </w:p>
        </w:tc>
        <w:tc>
          <w:tcPr>
            <w:tcW w:w="8707" w:type="dxa"/>
          </w:tcPr>
          <w:p w14:paraId="3FD51410" w14:textId="77777777" w:rsidR="002D75BA" w:rsidRPr="002D75BA" w:rsidRDefault="002D75BA" w:rsidP="002D75BA">
            <w:pPr>
              <w:spacing w:before="0"/>
              <w:jc w:val="center"/>
              <w:rPr>
                <w:rFonts w:eastAsia="Times New Roman" w:cs="Times New Roman"/>
                <w:b/>
                <w:sz w:val="26"/>
              </w:rPr>
            </w:pPr>
            <w:r w:rsidRPr="002D75BA">
              <w:rPr>
                <w:rFonts w:eastAsia="Times New Roman" w:cs="Times New Roman"/>
                <w:b/>
                <w:sz w:val="26"/>
              </w:rPr>
              <w:t>CỘNG HÒA XÃ HỘI CHỦ NGHĨA VIỆT NAM</w:t>
            </w:r>
          </w:p>
          <w:p w14:paraId="70E45817" w14:textId="77777777" w:rsidR="002D75BA" w:rsidRDefault="002D75BA" w:rsidP="002D75BA">
            <w:pPr>
              <w:spacing w:before="0"/>
              <w:jc w:val="center"/>
              <w:rPr>
                <w:rFonts w:eastAsia="Times New Roman" w:cs="Times New Roman"/>
                <w:b/>
                <w:szCs w:val="28"/>
              </w:rPr>
            </w:pPr>
            <w:r w:rsidRPr="002D75BA">
              <w:rPr>
                <w:rFonts w:eastAsia="Times New Roman" w:cs="Times New Roman"/>
                <w:b/>
                <w:szCs w:val="28"/>
              </w:rPr>
              <w:t>Độc lập - Tự do - Hạnh phúc</w:t>
            </w:r>
          </w:p>
          <w:p w14:paraId="7391A9CB" w14:textId="77777777" w:rsidR="002D75BA" w:rsidRDefault="002D75BA" w:rsidP="002D75BA">
            <w:pPr>
              <w:spacing w:before="0"/>
              <w:jc w:val="center"/>
              <w:rPr>
                <w:rFonts w:eastAsia="Times New Roman" w:cs="Times New Roman"/>
                <w:b/>
                <w:sz w:val="16"/>
                <w:szCs w:val="14"/>
                <w:vertAlign w:val="superscript"/>
              </w:rPr>
            </w:pPr>
            <w:r w:rsidRPr="002D75BA">
              <w:rPr>
                <w:rFonts w:eastAsia="Times New Roman" w:cs="Times New Roman"/>
                <w:b/>
                <w:sz w:val="16"/>
                <w:szCs w:val="14"/>
                <w:vertAlign w:val="superscript"/>
              </w:rPr>
              <w:t>___________________</w:t>
            </w:r>
            <w:r>
              <w:rPr>
                <w:rFonts w:eastAsia="Times New Roman" w:cs="Times New Roman"/>
                <w:b/>
                <w:sz w:val="16"/>
                <w:szCs w:val="14"/>
                <w:vertAlign w:val="superscript"/>
              </w:rPr>
              <w:t>________________________________________________</w:t>
            </w:r>
          </w:p>
          <w:p w14:paraId="6C6F8DB1" w14:textId="70C8BD21" w:rsidR="002D75BA" w:rsidRPr="002D75BA" w:rsidRDefault="002D75BA" w:rsidP="002D75BA">
            <w:pPr>
              <w:spacing w:before="0"/>
              <w:jc w:val="center"/>
              <w:rPr>
                <w:rFonts w:eastAsia="Times New Roman" w:cs="Times New Roman"/>
                <w:bCs/>
                <w:i/>
                <w:iCs/>
                <w:szCs w:val="28"/>
              </w:rPr>
            </w:pPr>
            <w:r w:rsidRPr="002D75BA">
              <w:rPr>
                <w:rFonts w:eastAsia="Times New Roman" w:cs="Times New Roman"/>
                <w:bCs/>
                <w:i/>
                <w:iCs/>
                <w:szCs w:val="28"/>
              </w:rPr>
              <w:t>Hà Nội, ngày    tháng    năm 2026</w:t>
            </w:r>
          </w:p>
        </w:tc>
      </w:tr>
    </w:tbl>
    <w:p w14:paraId="707609B8" w14:textId="77777777" w:rsidR="00396930" w:rsidRPr="00CB5608" w:rsidRDefault="00396930" w:rsidP="002D75BA">
      <w:pPr>
        <w:jc w:val="center"/>
        <w:rPr>
          <w:sz w:val="48"/>
          <w:szCs w:val="26"/>
        </w:rPr>
      </w:pPr>
    </w:p>
    <w:p w14:paraId="57600FD2" w14:textId="164927E8" w:rsidR="002D75BA" w:rsidRPr="00CB5608" w:rsidRDefault="002D75BA" w:rsidP="002D75BA">
      <w:pPr>
        <w:jc w:val="center"/>
        <w:rPr>
          <w:b/>
          <w:bCs/>
          <w:sz w:val="32"/>
          <w:szCs w:val="32"/>
        </w:rPr>
      </w:pPr>
      <w:r w:rsidRPr="00CB5608">
        <w:rPr>
          <w:b/>
          <w:bCs/>
          <w:sz w:val="32"/>
          <w:szCs w:val="32"/>
        </w:rPr>
        <w:t>BẢN SO SÁNH, THUYẾT MINH</w:t>
      </w:r>
    </w:p>
    <w:p w14:paraId="6D5DA0E3" w14:textId="77777777" w:rsidR="00CB5608" w:rsidRDefault="002D75BA" w:rsidP="002D75BA">
      <w:pPr>
        <w:jc w:val="center"/>
        <w:rPr>
          <w:b/>
          <w:bCs/>
        </w:rPr>
      </w:pPr>
      <w:r w:rsidRPr="002D75BA">
        <w:rPr>
          <w:b/>
          <w:bCs/>
        </w:rPr>
        <w:t xml:space="preserve">NGHỊ QUYẾT CỦA HĐND THÀNH PHỐ QUY ĐỊNH </w:t>
      </w:r>
      <w:r w:rsidR="00CB5608">
        <w:rPr>
          <w:b/>
          <w:bCs/>
        </w:rPr>
        <w:t xml:space="preserve">TIÊU CHÍ, ĐIỀU KIỆN, HỒ SƠ, TRÌNH TỰ, THỦ TỤC </w:t>
      </w:r>
    </w:p>
    <w:p w14:paraId="204FC988" w14:textId="3BF21E39" w:rsidR="002D75BA" w:rsidRDefault="00CB5608" w:rsidP="002D75BA">
      <w:pPr>
        <w:jc w:val="center"/>
        <w:rPr>
          <w:b/>
          <w:bCs/>
        </w:rPr>
      </w:pPr>
      <w:r>
        <w:rPr>
          <w:b/>
          <w:bCs/>
        </w:rPr>
        <w:t>THỰC HIỆN CÁC ƯU ĐÃI, HỖ TRỢ ĐẦU TƯ</w:t>
      </w:r>
    </w:p>
    <w:p w14:paraId="0A76234C" w14:textId="77777777" w:rsidR="00B01D4A" w:rsidRDefault="00B01D4A" w:rsidP="002D75BA">
      <w:pPr>
        <w:jc w:val="center"/>
        <w:rPr>
          <w:b/>
          <w:bCs/>
        </w:rPr>
      </w:pPr>
    </w:p>
    <w:p w14:paraId="4B6D222C" w14:textId="77777777" w:rsidR="00CB5608" w:rsidRDefault="00CB5608" w:rsidP="002D75BA">
      <w:pPr>
        <w:jc w:val="center"/>
        <w:rPr>
          <w:b/>
          <w:bCs/>
        </w:rPr>
      </w:pPr>
    </w:p>
    <w:tbl>
      <w:tblPr>
        <w:tblStyle w:val="TableGrid"/>
        <w:tblW w:w="14788" w:type="dxa"/>
        <w:tblLook w:val="04A0" w:firstRow="1" w:lastRow="0" w:firstColumn="1" w:lastColumn="0" w:noHBand="0" w:noVBand="1"/>
      </w:tblPr>
      <w:tblGrid>
        <w:gridCol w:w="959"/>
        <w:gridCol w:w="3260"/>
        <w:gridCol w:w="4394"/>
        <w:gridCol w:w="6175"/>
      </w:tblGrid>
      <w:tr w:rsidR="004A157B" w14:paraId="52358199" w14:textId="77777777" w:rsidTr="00CB5608">
        <w:trPr>
          <w:tblHeader/>
        </w:trPr>
        <w:tc>
          <w:tcPr>
            <w:tcW w:w="959" w:type="dxa"/>
            <w:vAlign w:val="center"/>
          </w:tcPr>
          <w:p w14:paraId="138FA9D7" w14:textId="09782502" w:rsidR="004A157B" w:rsidRPr="00CB5608" w:rsidRDefault="004A157B" w:rsidP="00CB5608">
            <w:pPr>
              <w:jc w:val="center"/>
              <w:rPr>
                <w:rFonts w:cs="Times New Roman"/>
                <w:b/>
                <w:bCs/>
                <w:szCs w:val="28"/>
              </w:rPr>
            </w:pPr>
            <w:r w:rsidRPr="004A157B">
              <w:rPr>
                <w:rFonts w:eastAsia="Times New Roman" w:cs="Times New Roman"/>
                <w:b/>
                <w:bCs/>
                <w:szCs w:val="28"/>
              </w:rPr>
              <w:t>STT</w:t>
            </w:r>
          </w:p>
        </w:tc>
        <w:tc>
          <w:tcPr>
            <w:tcW w:w="3260" w:type="dxa"/>
          </w:tcPr>
          <w:p w14:paraId="149858AE" w14:textId="44B1EE80" w:rsidR="004A157B" w:rsidRPr="00CB5608" w:rsidRDefault="004A157B" w:rsidP="00CB5608">
            <w:pPr>
              <w:jc w:val="center"/>
              <w:rPr>
                <w:rFonts w:cs="Times New Roman"/>
                <w:b/>
                <w:bCs/>
                <w:szCs w:val="28"/>
              </w:rPr>
            </w:pPr>
            <w:r w:rsidRPr="004A157B">
              <w:rPr>
                <w:rFonts w:eastAsia="Times New Roman" w:cs="Times New Roman"/>
                <w:b/>
                <w:bCs/>
                <w:szCs w:val="28"/>
              </w:rPr>
              <w:t>Nội dung dự thảo Nghị quyết</w:t>
            </w:r>
          </w:p>
        </w:tc>
        <w:tc>
          <w:tcPr>
            <w:tcW w:w="4394" w:type="dxa"/>
          </w:tcPr>
          <w:p w14:paraId="338EC060" w14:textId="36A62C3B" w:rsidR="004A157B" w:rsidRPr="00CB5608" w:rsidRDefault="004A157B" w:rsidP="00CB5608">
            <w:pPr>
              <w:jc w:val="center"/>
              <w:rPr>
                <w:rFonts w:cs="Times New Roman"/>
                <w:b/>
                <w:bCs/>
                <w:szCs w:val="28"/>
              </w:rPr>
            </w:pPr>
            <w:r w:rsidRPr="004A157B">
              <w:rPr>
                <w:rFonts w:eastAsia="Times New Roman" w:cs="Times New Roman"/>
                <w:b/>
                <w:bCs/>
                <w:szCs w:val="28"/>
              </w:rPr>
              <w:t>Căn cứ pháp lý/Quy định liên quan</w:t>
            </w:r>
          </w:p>
        </w:tc>
        <w:tc>
          <w:tcPr>
            <w:tcW w:w="6175" w:type="dxa"/>
          </w:tcPr>
          <w:p w14:paraId="0676E4B4" w14:textId="45B416E5" w:rsidR="004A157B" w:rsidRPr="00CB5608" w:rsidRDefault="004A157B" w:rsidP="00CB5608">
            <w:pPr>
              <w:jc w:val="center"/>
              <w:rPr>
                <w:rFonts w:cs="Times New Roman"/>
                <w:b/>
                <w:bCs/>
                <w:szCs w:val="28"/>
              </w:rPr>
            </w:pPr>
            <w:r w:rsidRPr="004A157B">
              <w:rPr>
                <w:rFonts w:eastAsia="Times New Roman" w:cs="Times New Roman"/>
                <w:b/>
                <w:bCs/>
                <w:szCs w:val="28"/>
              </w:rPr>
              <w:t>Nội dung thuyết minh, lý do quy định</w:t>
            </w:r>
          </w:p>
        </w:tc>
      </w:tr>
      <w:tr w:rsidR="004A157B" w14:paraId="343668CA" w14:textId="77777777" w:rsidTr="004A157B">
        <w:tc>
          <w:tcPr>
            <w:tcW w:w="959" w:type="dxa"/>
            <w:vAlign w:val="center"/>
          </w:tcPr>
          <w:p w14:paraId="25C24489" w14:textId="43A0CAD8" w:rsidR="004A157B" w:rsidRPr="00CB5608" w:rsidRDefault="00CB5608" w:rsidP="00CB5608">
            <w:pPr>
              <w:jc w:val="center"/>
              <w:rPr>
                <w:rFonts w:eastAsia="Times New Roman" w:cs="Times New Roman"/>
                <w:b/>
                <w:bCs/>
                <w:szCs w:val="28"/>
              </w:rPr>
            </w:pPr>
            <w:r w:rsidRPr="00CB5608">
              <w:rPr>
                <w:rFonts w:eastAsia="Times New Roman" w:cs="Times New Roman"/>
                <w:b/>
                <w:bCs/>
                <w:szCs w:val="28"/>
              </w:rPr>
              <w:t>1</w:t>
            </w:r>
          </w:p>
        </w:tc>
        <w:tc>
          <w:tcPr>
            <w:tcW w:w="3260" w:type="dxa"/>
          </w:tcPr>
          <w:p w14:paraId="28CBFE62" w14:textId="4F36A9E6" w:rsidR="004A157B" w:rsidRPr="00CB5608" w:rsidRDefault="004A157B" w:rsidP="00CB5608">
            <w:pPr>
              <w:jc w:val="both"/>
              <w:rPr>
                <w:rFonts w:eastAsia="Times New Roman" w:cs="Times New Roman"/>
                <w:b/>
                <w:bCs/>
                <w:szCs w:val="28"/>
              </w:rPr>
            </w:pPr>
            <w:r w:rsidRPr="004A157B">
              <w:rPr>
                <w:rFonts w:eastAsia="Times New Roman" w:cs="Times New Roman"/>
                <w:szCs w:val="28"/>
              </w:rPr>
              <w:t>Điều 1. Phạm vi điều chỉnh</w:t>
            </w:r>
          </w:p>
        </w:tc>
        <w:tc>
          <w:tcPr>
            <w:tcW w:w="4394" w:type="dxa"/>
          </w:tcPr>
          <w:p w14:paraId="34EABB70" w14:textId="3F4DDBA0" w:rsidR="004A157B" w:rsidRPr="00CB5608" w:rsidRDefault="004A157B" w:rsidP="00CB5608">
            <w:pPr>
              <w:jc w:val="both"/>
              <w:rPr>
                <w:rFonts w:eastAsia="Times New Roman" w:cs="Times New Roman"/>
                <w:b/>
                <w:bCs/>
                <w:szCs w:val="28"/>
              </w:rPr>
            </w:pPr>
            <w:r w:rsidRPr="004A157B">
              <w:rPr>
                <w:rFonts w:eastAsia="Times New Roman" w:cs="Times New Roman"/>
                <w:szCs w:val="28"/>
              </w:rPr>
              <w:t>Điều 26 Luật Thủ đô</w:t>
            </w:r>
          </w:p>
        </w:tc>
        <w:tc>
          <w:tcPr>
            <w:tcW w:w="6175" w:type="dxa"/>
          </w:tcPr>
          <w:p w14:paraId="2C257641" w14:textId="195AD07D" w:rsidR="004A157B" w:rsidRPr="00CB5608" w:rsidRDefault="004A157B" w:rsidP="00CB5608">
            <w:pPr>
              <w:jc w:val="both"/>
              <w:rPr>
                <w:rFonts w:eastAsia="Times New Roman" w:cs="Times New Roman"/>
                <w:b/>
                <w:bCs/>
                <w:szCs w:val="28"/>
              </w:rPr>
            </w:pPr>
            <w:r w:rsidRPr="004A157B">
              <w:rPr>
                <w:rFonts w:eastAsia="Times New Roman" w:cs="Times New Roman"/>
                <w:szCs w:val="28"/>
              </w:rPr>
              <w:t>Quy định nhằm xác định rõ phạm vi điều chỉnh của Nghị quyết, bao gồm tiêu chí, điều kiện, hồ sơ, trình tự, thủ tục và cơ chế tổ chức thực hiện các chính sách ưu đãi, hỗ trợ đầu tư theo Luật Thủ đô.</w:t>
            </w:r>
          </w:p>
        </w:tc>
      </w:tr>
      <w:tr w:rsidR="004A157B" w14:paraId="5A9640B5" w14:textId="77777777" w:rsidTr="004A157B">
        <w:tc>
          <w:tcPr>
            <w:tcW w:w="959" w:type="dxa"/>
            <w:vAlign w:val="center"/>
          </w:tcPr>
          <w:p w14:paraId="2F5DB65C" w14:textId="0A92960A" w:rsidR="004A157B" w:rsidRPr="00CB5608" w:rsidRDefault="00CB5608" w:rsidP="00CB5608">
            <w:pPr>
              <w:jc w:val="center"/>
              <w:rPr>
                <w:rFonts w:eastAsia="Times New Roman" w:cs="Times New Roman"/>
                <w:b/>
                <w:bCs/>
                <w:szCs w:val="28"/>
              </w:rPr>
            </w:pPr>
            <w:r w:rsidRPr="00CB5608">
              <w:rPr>
                <w:rFonts w:eastAsia="Times New Roman" w:cs="Times New Roman"/>
                <w:b/>
                <w:bCs/>
                <w:szCs w:val="28"/>
              </w:rPr>
              <w:t>2</w:t>
            </w:r>
          </w:p>
        </w:tc>
        <w:tc>
          <w:tcPr>
            <w:tcW w:w="3260" w:type="dxa"/>
          </w:tcPr>
          <w:p w14:paraId="3929A636" w14:textId="5A55D7BD" w:rsidR="004A157B" w:rsidRPr="00CB5608" w:rsidRDefault="004A157B" w:rsidP="00CB5608">
            <w:pPr>
              <w:jc w:val="both"/>
              <w:rPr>
                <w:rFonts w:eastAsia="Times New Roman" w:cs="Times New Roman"/>
                <w:b/>
                <w:bCs/>
                <w:szCs w:val="28"/>
              </w:rPr>
            </w:pPr>
            <w:r w:rsidRPr="004A157B">
              <w:rPr>
                <w:rFonts w:eastAsia="Times New Roman" w:cs="Times New Roman"/>
                <w:szCs w:val="28"/>
              </w:rPr>
              <w:t>Điều 2. Đối tượng áp dụng</w:t>
            </w:r>
          </w:p>
        </w:tc>
        <w:tc>
          <w:tcPr>
            <w:tcW w:w="4394" w:type="dxa"/>
          </w:tcPr>
          <w:p w14:paraId="0DDA47B4" w14:textId="23B2A527" w:rsidR="004A157B" w:rsidRPr="00CB5608" w:rsidRDefault="004A157B" w:rsidP="00CB5608">
            <w:pPr>
              <w:jc w:val="both"/>
              <w:rPr>
                <w:rFonts w:eastAsia="Times New Roman" w:cs="Times New Roman"/>
                <w:b/>
                <w:bCs/>
                <w:szCs w:val="28"/>
              </w:rPr>
            </w:pPr>
            <w:r w:rsidRPr="004A157B">
              <w:rPr>
                <w:rFonts w:eastAsia="Times New Roman" w:cs="Times New Roman"/>
                <w:szCs w:val="28"/>
              </w:rPr>
              <w:t>Khoản 1 đến khoản 7 Điều 26 Luật Thủ đô</w:t>
            </w:r>
          </w:p>
        </w:tc>
        <w:tc>
          <w:tcPr>
            <w:tcW w:w="6175" w:type="dxa"/>
          </w:tcPr>
          <w:p w14:paraId="09FD6EF4" w14:textId="27051959" w:rsidR="004A157B" w:rsidRPr="00CB5608" w:rsidRDefault="004A157B" w:rsidP="00CB5608">
            <w:pPr>
              <w:jc w:val="both"/>
              <w:rPr>
                <w:rFonts w:eastAsia="Times New Roman" w:cs="Times New Roman"/>
                <w:b/>
                <w:bCs/>
                <w:szCs w:val="28"/>
              </w:rPr>
            </w:pPr>
            <w:r w:rsidRPr="004A157B">
              <w:rPr>
                <w:rFonts w:eastAsia="Times New Roman" w:cs="Times New Roman"/>
                <w:szCs w:val="28"/>
              </w:rPr>
              <w:t>Cụ thể hóa các nhóm đối tượng được hưởng ưu đãi, hỗ trợ theo Luật Thủ đô, bao gồm nhà đầu tư chiến lược, doanh nghiệp khởi nghiệp sáng tạo, tổ chức khoa học công nghệ và các dự án hạ tầng ưu tiên.</w:t>
            </w:r>
          </w:p>
        </w:tc>
      </w:tr>
      <w:tr w:rsidR="004A157B" w14:paraId="39F12F4F" w14:textId="77777777" w:rsidTr="004A157B">
        <w:tc>
          <w:tcPr>
            <w:tcW w:w="959" w:type="dxa"/>
            <w:vAlign w:val="center"/>
          </w:tcPr>
          <w:p w14:paraId="0EA8CA8C" w14:textId="3492C1BE" w:rsidR="004A157B" w:rsidRPr="00CB5608" w:rsidRDefault="00CB5608" w:rsidP="00CB5608">
            <w:pPr>
              <w:jc w:val="center"/>
              <w:rPr>
                <w:rFonts w:eastAsia="Times New Roman" w:cs="Times New Roman"/>
                <w:b/>
                <w:bCs/>
                <w:szCs w:val="28"/>
              </w:rPr>
            </w:pPr>
            <w:r w:rsidRPr="00CB5608">
              <w:rPr>
                <w:rFonts w:eastAsia="Times New Roman" w:cs="Times New Roman"/>
                <w:b/>
                <w:bCs/>
                <w:szCs w:val="28"/>
              </w:rPr>
              <w:t>3</w:t>
            </w:r>
          </w:p>
        </w:tc>
        <w:tc>
          <w:tcPr>
            <w:tcW w:w="3260" w:type="dxa"/>
          </w:tcPr>
          <w:p w14:paraId="7C6F22EA" w14:textId="0D91A9AB" w:rsidR="004A157B" w:rsidRPr="00CB5608" w:rsidRDefault="004A157B" w:rsidP="00CB5608">
            <w:pPr>
              <w:jc w:val="both"/>
              <w:rPr>
                <w:rFonts w:eastAsia="Times New Roman" w:cs="Times New Roman"/>
                <w:b/>
                <w:bCs/>
                <w:szCs w:val="28"/>
              </w:rPr>
            </w:pPr>
            <w:r w:rsidRPr="004A157B">
              <w:rPr>
                <w:rFonts w:eastAsia="Times New Roman" w:cs="Times New Roman"/>
                <w:szCs w:val="28"/>
              </w:rPr>
              <w:t>Điều 3. Nguyên tắc chung</w:t>
            </w:r>
          </w:p>
        </w:tc>
        <w:tc>
          <w:tcPr>
            <w:tcW w:w="4394" w:type="dxa"/>
          </w:tcPr>
          <w:p w14:paraId="4E9B64D7" w14:textId="66BB22D8" w:rsidR="004A157B" w:rsidRPr="00CB5608" w:rsidRDefault="004A157B" w:rsidP="00CB5608">
            <w:pPr>
              <w:jc w:val="both"/>
              <w:rPr>
                <w:rFonts w:eastAsia="Times New Roman" w:cs="Times New Roman"/>
                <w:b/>
                <w:bCs/>
                <w:szCs w:val="28"/>
              </w:rPr>
            </w:pPr>
            <w:r w:rsidRPr="004A157B">
              <w:rPr>
                <w:rFonts w:eastAsia="Times New Roman" w:cs="Times New Roman"/>
                <w:szCs w:val="28"/>
              </w:rPr>
              <w:t>Luật Ngân sách nhà nước; Luật Đầu tư</w:t>
            </w:r>
          </w:p>
        </w:tc>
        <w:tc>
          <w:tcPr>
            <w:tcW w:w="6175" w:type="dxa"/>
          </w:tcPr>
          <w:p w14:paraId="3A78736F" w14:textId="27095956" w:rsidR="004A157B" w:rsidRPr="00CB5608" w:rsidRDefault="004A157B" w:rsidP="00CB5608">
            <w:pPr>
              <w:jc w:val="both"/>
              <w:rPr>
                <w:rFonts w:eastAsia="Times New Roman" w:cs="Times New Roman"/>
                <w:b/>
                <w:bCs/>
                <w:szCs w:val="28"/>
              </w:rPr>
            </w:pPr>
            <w:r w:rsidRPr="004A157B">
              <w:rPr>
                <w:rFonts w:eastAsia="Times New Roman" w:cs="Times New Roman"/>
                <w:szCs w:val="28"/>
              </w:rPr>
              <w:t>Quy định nguyên tắc công khai, minh bạch, không trùng lặp chính sách hỗ trợ và bảo đảm thực hiện trong khả năng cân đối ngân sách Thành phố nhằm tăng tính khả thi và kiểm soát hiệu quả sử dụng ngân sách.</w:t>
            </w:r>
          </w:p>
        </w:tc>
      </w:tr>
      <w:tr w:rsidR="004A157B" w14:paraId="12EBB170" w14:textId="77777777" w:rsidTr="00C95AA1">
        <w:tc>
          <w:tcPr>
            <w:tcW w:w="959" w:type="dxa"/>
            <w:vAlign w:val="center"/>
          </w:tcPr>
          <w:p w14:paraId="0FB24A30" w14:textId="7D1F7421" w:rsidR="004A157B" w:rsidRPr="00CB5608" w:rsidRDefault="00CB5608" w:rsidP="00CB5608">
            <w:pPr>
              <w:jc w:val="center"/>
              <w:rPr>
                <w:rFonts w:eastAsia="Times New Roman" w:cs="Times New Roman"/>
                <w:b/>
                <w:bCs/>
                <w:szCs w:val="28"/>
              </w:rPr>
            </w:pPr>
            <w:r w:rsidRPr="00CB5608">
              <w:rPr>
                <w:rFonts w:eastAsia="Times New Roman" w:cs="Times New Roman"/>
                <w:b/>
                <w:bCs/>
                <w:szCs w:val="28"/>
              </w:rPr>
              <w:t>4</w:t>
            </w:r>
          </w:p>
        </w:tc>
        <w:tc>
          <w:tcPr>
            <w:tcW w:w="3260" w:type="dxa"/>
            <w:vAlign w:val="center"/>
          </w:tcPr>
          <w:p w14:paraId="45D4CE08" w14:textId="181ED013" w:rsidR="004A157B" w:rsidRPr="00CB5608" w:rsidRDefault="004A157B" w:rsidP="00CB5608">
            <w:pPr>
              <w:jc w:val="both"/>
              <w:rPr>
                <w:rFonts w:eastAsia="Times New Roman" w:cs="Times New Roman"/>
                <w:szCs w:val="28"/>
              </w:rPr>
            </w:pPr>
            <w:r w:rsidRPr="004A157B">
              <w:rPr>
                <w:rFonts w:eastAsia="Times New Roman" w:cs="Times New Roman"/>
                <w:szCs w:val="28"/>
              </w:rPr>
              <w:t>Điều 4. Tiêu chí, điều kiện hưởng ưu đãi đối với dự án thuộc khoản 2 Điều 26 Luật Thủ đô</w:t>
            </w:r>
          </w:p>
        </w:tc>
        <w:tc>
          <w:tcPr>
            <w:tcW w:w="4394" w:type="dxa"/>
          </w:tcPr>
          <w:p w14:paraId="0FF0E466" w14:textId="1EC46E2A" w:rsidR="004A157B" w:rsidRPr="00CB5608" w:rsidRDefault="004A157B" w:rsidP="00CB5608">
            <w:pPr>
              <w:jc w:val="both"/>
              <w:rPr>
                <w:rFonts w:eastAsia="Times New Roman" w:cs="Times New Roman"/>
                <w:szCs w:val="28"/>
              </w:rPr>
            </w:pPr>
            <w:r w:rsidRPr="004A157B">
              <w:rPr>
                <w:rFonts w:eastAsia="Times New Roman" w:cs="Times New Roman"/>
                <w:szCs w:val="28"/>
              </w:rPr>
              <w:t>Khoản 2 Điều 26 Luật Thủ đô; Luật Đầu tư; Luật Đất đai</w:t>
            </w:r>
          </w:p>
        </w:tc>
        <w:tc>
          <w:tcPr>
            <w:tcW w:w="6175" w:type="dxa"/>
          </w:tcPr>
          <w:p w14:paraId="2776C837" w14:textId="3C3DB07C" w:rsidR="004A157B" w:rsidRPr="00CB5608" w:rsidRDefault="004A157B" w:rsidP="00CB5608">
            <w:pPr>
              <w:jc w:val="both"/>
              <w:rPr>
                <w:rFonts w:eastAsia="Times New Roman" w:cs="Times New Roman"/>
                <w:szCs w:val="28"/>
              </w:rPr>
            </w:pPr>
            <w:r w:rsidRPr="004A157B">
              <w:rPr>
                <w:rFonts w:eastAsia="Times New Roman" w:cs="Times New Roman"/>
                <w:szCs w:val="28"/>
              </w:rPr>
              <w:t>Quy định điều kiện áp dụng ưu đãi đối với các dự án thuộc lĩnh vực ưu tiên nhằm bảo đảm việc áp dụng đúng đối tượng và phù hợp pháp luật chuyên ngành</w:t>
            </w:r>
            <w:r w:rsidRPr="00CB5608">
              <w:rPr>
                <w:rFonts w:eastAsia="Times New Roman" w:cs="Times New Roman"/>
                <w:szCs w:val="28"/>
              </w:rPr>
              <w:t>.</w:t>
            </w:r>
          </w:p>
        </w:tc>
      </w:tr>
      <w:tr w:rsidR="004A157B" w14:paraId="58E11317" w14:textId="77777777" w:rsidTr="004A157B">
        <w:tc>
          <w:tcPr>
            <w:tcW w:w="959" w:type="dxa"/>
            <w:vAlign w:val="center"/>
          </w:tcPr>
          <w:p w14:paraId="56CAFE46" w14:textId="3AB71B96" w:rsidR="004A157B" w:rsidRPr="00CB5608" w:rsidRDefault="00CB5608" w:rsidP="00CB5608">
            <w:pPr>
              <w:jc w:val="center"/>
              <w:rPr>
                <w:rFonts w:eastAsia="Times New Roman" w:cs="Times New Roman"/>
                <w:b/>
                <w:bCs/>
                <w:szCs w:val="28"/>
              </w:rPr>
            </w:pPr>
            <w:r w:rsidRPr="00CB5608">
              <w:rPr>
                <w:rFonts w:eastAsia="Times New Roman" w:cs="Times New Roman"/>
                <w:b/>
                <w:bCs/>
                <w:szCs w:val="28"/>
              </w:rPr>
              <w:lastRenderedPageBreak/>
              <w:t>5</w:t>
            </w:r>
          </w:p>
        </w:tc>
        <w:tc>
          <w:tcPr>
            <w:tcW w:w="3260" w:type="dxa"/>
          </w:tcPr>
          <w:p w14:paraId="4489964D" w14:textId="7094D30D" w:rsidR="004A157B" w:rsidRPr="00CB5608" w:rsidRDefault="004A157B" w:rsidP="00CB5608">
            <w:pPr>
              <w:jc w:val="both"/>
              <w:rPr>
                <w:rFonts w:eastAsia="Times New Roman" w:cs="Times New Roman"/>
                <w:szCs w:val="28"/>
              </w:rPr>
            </w:pPr>
            <w:r w:rsidRPr="004A157B">
              <w:rPr>
                <w:rFonts w:eastAsia="Times New Roman" w:cs="Times New Roman"/>
                <w:szCs w:val="28"/>
              </w:rPr>
              <w:t>Điều 5. Tiêu chí, điều kiện hưởng ưu đãi đối với dự án trợ giúp xã hội, cai nghiện ma túy</w:t>
            </w:r>
          </w:p>
        </w:tc>
        <w:tc>
          <w:tcPr>
            <w:tcW w:w="4394" w:type="dxa"/>
          </w:tcPr>
          <w:p w14:paraId="6D57DDC3" w14:textId="5B3DD866" w:rsidR="004A157B" w:rsidRPr="00CB5608" w:rsidRDefault="004A157B" w:rsidP="00CB5608">
            <w:pPr>
              <w:jc w:val="both"/>
              <w:rPr>
                <w:rFonts w:eastAsia="Times New Roman" w:cs="Times New Roman"/>
                <w:szCs w:val="28"/>
              </w:rPr>
            </w:pPr>
            <w:r w:rsidRPr="004A157B">
              <w:rPr>
                <w:rFonts w:eastAsia="Times New Roman" w:cs="Times New Roman"/>
                <w:szCs w:val="28"/>
              </w:rPr>
              <w:t>Khoản 3 Điều 26 Luật Thủ đô</w:t>
            </w:r>
          </w:p>
        </w:tc>
        <w:tc>
          <w:tcPr>
            <w:tcW w:w="6175" w:type="dxa"/>
          </w:tcPr>
          <w:p w14:paraId="5EE38137" w14:textId="04FFE879" w:rsidR="004A157B" w:rsidRPr="00CB5608" w:rsidRDefault="004A157B" w:rsidP="00CB5608">
            <w:pPr>
              <w:jc w:val="both"/>
              <w:rPr>
                <w:rFonts w:eastAsia="Times New Roman" w:cs="Times New Roman"/>
                <w:szCs w:val="28"/>
              </w:rPr>
            </w:pPr>
            <w:r w:rsidRPr="004A157B">
              <w:rPr>
                <w:rFonts w:eastAsia="Times New Roman" w:cs="Times New Roman"/>
                <w:szCs w:val="28"/>
              </w:rPr>
              <w:t>Quy định điều kiện hỗ trợ đối với lĩnh vực an sinh xã hội nhằm khuyến khích xã hội hóa, giảm áp lực đầu tư công và nâng cao chất lượng dịch vụ xã hội trên địa bàn Thành phố.</w:t>
            </w:r>
          </w:p>
        </w:tc>
      </w:tr>
      <w:tr w:rsidR="004A157B" w14:paraId="20B73F48" w14:textId="77777777" w:rsidTr="004A157B">
        <w:tc>
          <w:tcPr>
            <w:tcW w:w="959" w:type="dxa"/>
            <w:vAlign w:val="center"/>
          </w:tcPr>
          <w:p w14:paraId="5386699F" w14:textId="1DAA1E3D" w:rsidR="004A157B" w:rsidRPr="00CB5608" w:rsidRDefault="00CB5608" w:rsidP="00CB5608">
            <w:pPr>
              <w:jc w:val="center"/>
              <w:rPr>
                <w:rFonts w:eastAsia="Times New Roman" w:cs="Times New Roman"/>
                <w:b/>
                <w:bCs/>
                <w:szCs w:val="28"/>
              </w:rPr>
            </w:pPr>
            <w:r w:rsidRPr="00CB5608">
              <w:rPr>
                <w:rFonts w:eastAsia="Times New Roman" w:cs="Times New Roman"/>
                <w:b/>
                <w:bCs/>
                <w:szCs w:val="28"/>
              </w:rPr>
              <w:t>6</w:t>
            </w:r>
          </w:p>
        </w:tc>
        <w:tc>
          <w:tcPr>
            <w:tcW w:w="3260" w:type="dxa"/>
          </w:tcPr>
          <w:p w14:paraId="668ECF27" w14:textId="4F6A8125" w:rsidR="004A157B" w:rsidRPr="00CB5608" w:rsidRDefault="004A157B" w:rsidP="00CB5608">
            <w:pPr>
              <w:jc w:val="both"/>
              <w:rPr>
                <w:rFonts w:eastAsia="Times New Roman" w:cs="Times New Roman"/>
                <w:szCs w:val="28"/>
              </w:rPr>
            </w:pPr>
            <w:r w:rsidRPr="004A157B">
              <w:rPr>
                <w:rFonts w:eastAsia="Times New Roman" w:cs="Times New Roman"/>
                <w:szCs w:val="28"/>
              </w:rPr>
              <w:t>Điều 6. Điều kiện hưởng ưu đãi đối với dự án bãi đỗ xe ngầm, bãi đỗ xe cao tầng</w:t>
            </w:r>
          </w:p>
        </w:tc>
        <w:tc>
          <w:tcPr>
            <w:tcW w:w="4394" w:type="dxa"/>
          </w:tcPr>
          <w:p w14:paraId="0FADF592" w14:textId="45EA5EB8" w:rsidR="004A157B" w:rsidRPr="00CB5608" w:rsidRDefault="004A157B" w:rsidP="00CB5608">
            <w:pPr>
              <w:jc w:val="both"/>
              <w:rPr>
                <w:rFonts w:eastAsia="Times New Roman" w:cs="Times New Roman"/>
                <w:szCs w:val="28"/>
              </w:rPr>
            </w:pPr>
            <w:r w:rsidRPr="004A157B">
              <w:rPr>
                <w:rFonts w:eastAsia="Times New Roman" w:cs="Times New Roman"/>
                <w:szCs w:val="28"/>
              </w:rPr>
              <w:t>Khoản 4 Điều 26 Luật Thủ đô</w:t>
            </w:r>
          </w:p>
        </w:tc>
        <w:tc>
          <w:tcPr>
            <w:tcW w:w="6175" w:type="dxa"/>
          </w:tcPr>
          <w:p w14:paraId="1FB292D2" w14:textId="26D185AF" w:rsidR="004A157B" w:rsidRPr="00CB5608" w:rsidRDefault="004A157B" w:rsidP="00CB5608">
            <w:pPr>
              <w:jc w:val="both"/>
              <w:rPr>
                <w:rFonts w:eastAsia="Times New Roman" w:cs="Times New Roman"/>
                <w:szCs w:val="28"/>
              </w:rPr>
            </w:pPr>
            <w:r w:rsidRPr="004A157B">
              <w:rPr>
                <w:rFonts w:eastAsia="Times New Roman" w:cs="Times New Roman"/>
                <w:szCs w:val="28"/>
              </w:rPr>
              <w:t>Cụ thể hóa chính sách ưu đãi nhằm khuyến khích đầu tư phát triển hạ tầng giao thông tĩnh, góp phần giảm ùn tắc giao thông và nâng cao hiệu quả sử dụng không gian đô thị.</w:t>
            </w:r>
          </w:p>
        </w:tc>
      </w:tr>
      <w:tr w:rsidR="004A157B" w14:paraId="4863DB77" w14:textId="77777777" w:rsidTr="004A157B">
        <w:tc>
          <w:tcPr>
            <w:tcW w:w="959" w:type="dxa"/>
            <w:vAlign w:val="center"/>
          </w:tcPr>
          <w:p w14:paraId="37ABA1B8" w14:textId="2256CE59" w:rsidR="004A157B" w:rsidRPr="00CB5608" w:rsidRDefault="00CB5608" w:rsidP="00CB5608">
            <w:pPr>
              <w:jc w:val="center"/>
              <w:rPr>
                <w:rFonts w:eastAsia="Times New Roman" w:cs="Times New Roman"/>
                <w:b/>
                <w:bCs/>
                <w:szCs w:val="28"/>
              </w:rPr>
            </w:pPr>
            <w:r w:rsidRPr="00CB5608">
              <w:rPr>
                <w:rFonts w:eastAsia="Times New Roman" w:cs="Times New Roman"/>
                <w:b/>
                <w:bCs/>
                <w:szCs w:val="28"/>
              </w:rPr>
              <w:t>7</w:t>
            </w:r>
          </w:p>
        </w:tc>
        <w:tc>
          <w:tcPr>
            <w:tcW w:w="3260" w:type="dxa"/>
          </w:tcPr>
          <w:p w14:paraId="4E67DAB2" w14:textId="05A87DED" w:rsidR="004A157B" w:rsidRPr="00CB5608" w:rsidRDefault="004A157B" w:rsidP="00CB5608">
            <w:pPr>
              <w:jc w:val="both"/>
              <w:rPr>
                <w:rFonts w:eastAsia="Times New Roman" w:cs="Times New Roman"/>
                <w:szCs w:val="28"/>
              </w:rPr>
            </w:pPr>
            <w:r w:rsidRPr="004A157B">
              <w:rPr>
                <w:rFonts w:eastAsia="Times New Roman" w:cs="Times New Roman"/>
                <w:szCs w:val="28"/>
              </w:rPr>
              <w:t>Điều 7. Tiêu chí, điều kiện hưởng ưu đãi đối với nhà đầu tư chiến lược</w:t>
            </w:r>
          </w:p>
        </w:tc>
        <w:tc>
          <w:tcPr>
            <w:tcW w:w="4394" w:type="dxa"/>
          </w:tcPr>
          <w:p w14:paraId="013DCA1E" w14:textId="391672A6" w:rsidR="004A157B" w:rsidRPr="00CB5608" w:rsidRDefault="004A157B" w:rsidP="00CB5608">
            <w:pPr>
              <w:jc w:val="both"/>
              <w:rPr>
                <w:rFonts w:eastAsia="Times New Roman" w:cs="Times New Roman"/>
                <w:szCs w:val="28"/>
              </w:rPr>
            </w:pPr>
            <w:r w:rsidRPr="004A157B">
              <w:rPr>
                <w:rFonts w:eastAsia="Times New Roman" w:cs="Times New Roman"/>
                <w:szCs w:val="28"/>
              </w:rPr>
              <w:t>Khoản 5 và khoản 8 Điều 26 Luật Thủ đô</w:t>
            </w:r>
          </w:p>
        </w:tc>
        <w:tc>
          <w:tcPr>
            <w:tcW w:w="6175" w:type="dxa"/>
          </w:tcPr>
          <w:p w14:paraId="3A7F8025" w14:textId="5DC030A2" w:rsidR="004A157B" w:rsidRPr="00CB5608" w:rsidRDefault="004A157B" w:rsidP="00CB5608">
            <w:pPr>
              <w:jc w:val="both"/>
              <w:rPr>
                <w:rFonts w:eastAsia="Times New Roman" w:cs="Times New Roman"/>
                <w:szCs w:val="28"/>
              </w:rPr>
            </w:pPr>
            <w:r w:rsidRPr="004A157B">
              <w:rPr>
                <w:rFonts w:eastAsia="Times New Roman" w:cs="Times New Roman"/>
                <w:szCs w:val="28"/>
              </w:rPr>
              <w:t>Quy định cơ chế ưu đãi và giám sát đối với nhà đầu tư chiến lược nhằm thu hút các dự án quy mô lớn, công nghệ cao, tạo động lực phát triển kinh tế - xã hội của Thủ đô.</w:t>
            </w:r>
          </w:p>
        </w:tc>
      </w:tr>
      <w:tr w:rsidR="004A157B" w14:paraId="75F84382" w14:textId="77777777" w:rsidTr="004A157B">
        <w:tc>
          <w:tcPr>
            <w:tcW w:w="959" w:type="dxa"/>
            <w:vAlign w:val="center"/>
          </w:tcPr>
          <w:p w14:paraId="46FA531D" w14:textId="21225F9C" w:rsidR="004A157B" w:rsidRPr="00CB5608" w:rsidRDefault="00CB5608" w:rsidP="00CB5608">
            <w:pPr>
              <w:jc w:val="center"/>
              <w:rPr>
                <w:rFonts w:eastAsia="Times New Roman" w:cs="Times New Roman"/>
                <w:b/>
                <w:bCs/>
                <w:szCs w:val="28"/>
              </w:rPr>
            </w:pPr>
            <w:r w:rsidRPr="00CB5608">
              <w:rPr>
                <w:rFonts w:eastAsia="Times New Roman" w:cs="Times New Roman"/>
                <w:b/>
                <w:bCs/>
                <w:szCs w:val="28"/>
              </w:rPr>
              <w:t>8</w:t>
            </w:r>
          </w:p>
        </w:tc>
        <w:tc>
          <w:tcPr>
            <w:tcW w:w="3260" w:type="dxa"/>
          </w:tcPr>
          <w:p w14:paraId="0C536883" w14:textId="5C1443B3" w:rsidR="004A157B" w:rsidRPr="00CB5608" w:rsidRDefault="004A157B" w:rsidP="00CB5608">
            <w:pPr>
              <w:jc w:val="both"/>
              <w:rPr>
                <w:rFonts w:eastAsia="Times New Roman" w:cs="Times New Roman"/>
                <w:szCs w:val="28"/>
              </w:rPr>
            </w:pPr>
            <w:r w:rsidRPr="004A157B">
              <w:rPr>
                <w:rFonts w:eastAsia="Times New Roman" w:cs="Times New Roman"/>
                <w:szCs w:val="28"/>
              </w:rPr>
              <w:t>Điều 8. Tiêu chí, điều kiện hưởng ưu đãi đối với doanh nghiệp khởi nghiệp sáng tạo</w:t>
            </w:r>
          </w:p>
        </w:tc>
        <w:tc>
          <w:tcPr>
            <w:tcW w:w="4394" w:type="dxa"/>
          </w:tcPr>
          <w:p w14:paraId="76DD2F6C" w14:textId="7F6D5DF0" w:rsidR="004A157B" w:rsidRPr="00CB5608" w:rsidRDefault="004A157B" w:rsidP="00CB5608">
            <w:pPr>
              <w:jc w:val="both"/>
              <w:rPr>
                <w:rFonts w:eastAsia="Times New Roman" w:cs="Times New Roman"/>
                <w:szCs w:val="28"/>
              </w:rPr>
            </w:pPr>
            <w:r w:rsidRPr="004A157B">
              <w:rPr>
                <w:rFonts w:eastAsia="Times New Roman" w:cs="Times New Roman"/>
                <w:szCs w:val="28"/>
              </w:rPr>
              <w:t>Khoản 6 Điều 26 Luật Thủ đô; Luật Hỗ trợ doanh nghiệp nhỏ và vừa</w:t>
            </w:r>
          </w:p>
        </w:tc>
        <w:tc>
          <w:tcPr>
            <w:tcW w:w="6175" w:type="dxa"/>
          </w:tcPr>
          <w:p w14:paraId="1E71272A" w14:textId="6F338222" w:rsidR="004A157B" w:rsidRPr="00CB5608" w:rsidRDefault="004A157B" w:rsidP="00CB5608">
            <w:pPr>
              <w:jc w:val="both"/>
              <w:rPr>
                <w:rFonts w:eastAsia="Times New Roman" w:cs="Times New Roman"/>
                <w:szCs w:val="28"/>
              </w:rPr>
            </w:pPr>
            <w:r w:rsidRPr="004A157B">
              <w:rPr>
                <w:rFonts w:eastAsia="Times New Roman" w:cs="Times New Roman"/>
                <w:szCs w:val="28"/>
              </w:rPr>
              <w:t>Quy định điều kiện xác định doanh nghiệp khởi nghiệp sáng tạo nhằm thúc đẩy hệ sinh thái đổi mới sáng tạo và hỗ trợ doanh nghiệp công nghệ trên địa bàn Thành phố.</w:t>
            </w:r>
          </w:p>
        </w:tc>
      </w:tr>
      <w:tr w:rsidR="004A157B" w14:paraId="296C50E6" w14:textId="77777777" w:rsidTr="004A157B">
        <w:tc>
          <w:tcPr>
            <w:tcW w:w="959" w:type="dxa"/>
            <w:vAlign w:val="center"/>
          </w:tcPr>
          <w:p w14:paraId="4D902229" w14:textId="3EBAAAA1" w:rsidR="004A157B" w:rsidRPr="00CB5608" w:rsidRDefault="00CB5608" w:rsidP="00CB5608">
            <w:pPr>
              <w:jc w:val="center"/>
              <w:rPr>
                <w:rFonts w:eastAsia="Times New Roman" w:cs="Times New Roman"/>
                <w:b/>
                <w:bCs/>
                <w:szCs w:val="28"/>
              </w:rPr>
            </w:pPr>
            <w:r w:rsidRPr="00CB5608">
              <w:rPr>
                <w:rFonts w:eastAsia="Times New Roman" w:cs="Times New Roman"/>
                <w:b/>
                <w:bCs/>
                <w:szCs w:val="28"/>
              </w:rPr>
              <w:t>9</w:t>
            </w:r>
          </w:p>
        </w:tc>
        <w:tc>
          <w:tcPr>
            <w:tcW w:w="3260" w:type="dxa"/>
          </w:tcPr>
          <w:p w14:paraId="2D7B622D" w14:textId="39A51D38" w:rsidR="004A157B" w:rsidRPr="00CB5608" w:rsidRDefault="004A157B" w:rsidP="00CB5608">
            <w:pPr>
              <w:jc w:val="both"/>
              <w:rPr>
                <w:rFonts w:eastAsia="Times New Roman" w:cs="Times New Roman"/>
                <w:szCs w:val="28"/>
              </w:rPr>
            </w:pPr>
            <w:r w:rsidRPr="004A157B">
              <w:rPr>
                <w:rFonts w:eastAsia="Times New Roman" w:cs="Times New Roman"/>
                <w:szCs w:val="28"/>
              </w:rPr>
              <w:t>Điều 9. Tiêu chí, điều kiện hưởng ưu đãi đối với cá nhân hoạt động khoa học công nghệ</w:t>
            </w:r>
          </w:p>
        </w:tc>
        <w:tc>
          <w:tcPr>
            <w:tcW w:w="4394" w:type="dxa"/>
          </w:tcPr>
          <w:p w14:paraId="717225AC" w14:textId="1CE8BFC7" w:rsidR="004A157B" w:rsidRPr="00CB5608" w:rsidRDefault="004A157B" w:rsidP="00CB5608">
            <w:pPr>
              <w:jc w:val="both"/>
              <w:rPr>
                <w:rFonts w:eastAsia="Times New Roman" w:cs="Times New Roman"/>
                <w:szCs w:val="28"/>
              </w:rPr>
            </w:pPr>
            <w:r w:rsidRPr="004A157B">
              <w:rPr>
                <w:rFonts w:eastAsia="Times New Roman" w:cs="Times New Roman"/>
                <w:szCs w:val="28"/>
              </w:rPr>
              <w:t>Khoản 7 Điều 26 Luật Thủ đô</w:t>
            </w:r>
          </w:p>
        </w:tc>
        <w:tc>
          <w:tcPr>
            <w:tcW w:w="6175" w:type="dxa"/>
          </w:tcPr>
          <w:p w14:paraId="431C22B5" w14:textId="107E3794" w:rsidR="004A157B" w:rsidRPr="00CB5608" w:rsidRDefault="004A157B" w:rsidP="00CB5608">
            <w:pPr>
              <w:jc w:val="both"/>
              <w:rPr>
                <w:rFonts w:eastAsia="Times New Roman" w:cs="Times New Roman"/>
                <w:szCs w:val="28"/>
              </w:rPr>
            </w:pPr>
            <w:r w:rsidRPr="004A157B">
              <w:rPr>
                <w:rFonts w:eastAsia="Times New Roman" w:cs="Times New Roman"/>
                <w:szCs w:val="28"/>
              </w:rPr>
              <w:t>Nhằm thu hút chuyên gia, nhà khoa học và nguồn nhân lực chất lượng cao tham gia hoạt động khoa học, công nghệ và đổi mới sáng tạo tại Thủ đô.</w:t>
            </w:r>
          </w:p>
        </w:tc>
      </w:tr>
      <w:tr w:rsidR="004A157B" w14:paraId="3E8DEE8B" w14:textId="77777777" w:rsidTr="004A157B">
        <w:tc>
          <w:tcPr>
            <w:tcW w:w="959" w:type="dxa"/>
            <w:vAlign w:val="center"/>
          </w:tcPr>
          <w:p w14:paraId="7EF79017" w14:textId="1A30BCDB" w:rsidR="004A157B" w:rsidRPr="00CB5608" w:rsidRDefault="00CB5608" w:rsidP="00CB5608">
            <w:pPr>
              <w:jc w:val="center"/>
              <w:rPr>
                <w:rFonts w:eastAsia="Times New Roman" w:cs="Times New Roman"/>
                <w:b/>
                <w:bCs/>
                <w:szCs w:val="28"/>
              </w:rPr>
            </w:pPr>
            <w:r w:rsidRPr="00CB5608">
              <w:rPr>
                <w:rFonts w:eastAsia="Times New Roman" w:cs="Times New Roman"/>
                <w:b/>
                <w:bCs/>
                <w:szCs w:val="28"/>
              </w:rPr>
              <w:t>10</w:t>
            </w:r>
          </w:p>
        </w:tc>
        <w:tc>
          <w:tcPr>
            <w:tcW w:w="3260" w:type="dxa"/>
          </w:tcPr>
          <w:p w14:paraId="7A5FAC87" w14:textId="1F4EB20F" w:rsidR="004A157B" w:rsidRPr="00CB5608" w:rsidRDefault="004A157B" w:rsidP="00CB5608">
            <w:pPr>
              <w:jc w:val="both"/>
              <w:rPr>
                <w:rFonts w:eastAsia="Times New Roman" w:cs="Times New Roman"/>
                <w:szCs w:val="28"/>
              </w:rPr>
            </w:pPr>
            <w:r w:rsidRPr="004A157B">
              <w:rPr>
                <w:rFonts w:eastAsia="Times New Roman" w:cs="Times New Roman"/>
                <w:szCs w:val="28"/>
              </w:rPr>
              <w:t>Điều 10. Hồ sơ đề nghị hưởng ưu đãi, hỗ trợ</w:t>
            </w:r>
          </w:p>
        </w:tc>
        <w:tc>
          <w:tcPr>
            <w:tcW w:w="4394" w:type="dxa"/>
          </w:tcPr>
          <w:p w14:paraId="436A9FB8" w14:textId="4B115172" w:rsidR="004A157B" w:rsidRPr="00CB5608" w:rsidRDefault="004A157B" w:rsidP="00CB5608">
            <w:pPr>
              <w:jc w:val="both"/>
              <w:rPr>
                <w:rFonts w:eastAsia="Times New Roman" w:cs="Times New Roman"/>
                <w:szCs w:val="28"/>
              </w:rPr>
            </w:pPr>
            <w:r w:rsidRPr="004A157B">
              <w:rPr>
                <w:rFonts w:eastAsia="Times New Roman" w:cs="Times New Roman"/>
                <w:szCs w:val="28"/>
              </w:rPr>
              <w:t>Luật Đầu tư; Luật Ban hành văn bản quy phạm pháp luật</w:t>
            </w:r>
          </w:p>
        </w:tc>
        <w:tc>
          <w:tcPr>
            <w:tcW w:w="6175" w:type="dxa"/>
          </w:tcPr>
          <w:p w14:paraId="6C7E263D" w14:textId="26DCC370" w:rsidR="004A157B" w:rsidRPr="00CB5608" w:rsidRDefault="004A157B" w:rsidP="00CB5608">
            <w:pPr>
              <w:jc w:val="both"/>
              <w:rPr>
                <w:rFonts w:eastAsia="Times New Roman" w:cs="Times New Roman"/>
                <w:szCs w:val="28"/>
              </w:rPr>
            </w:pPr>
            <w:r w:rsidRPr="004A157B">
              <w:rPr>
                <w:rFonts w:eastAsia="Times New Roman" w:cs="Times New Roman"/>
                <w:szCs w:val="28"/>
              </w:rPr>
              <w:t>Quy định thành phần hồ sơ nhằm tạo cơ sở pháp lý cho việc tiếp nhận, thẩm định và giải quyết thủ tục hành chính theo hướng công khai, minh bạch và đơn giản hóa thủ tục.</w:t>
            </w:r>
          </w:p>
        </w:tc>
      </w:tr>
      <w:tr w:rsidR="004A157B" w14:paraId="1F54698A" w14:textId="77777777" w:rsidTr="004A157B">
        <w:tc>
          <w:tcPr>
            <w:tcW w:w="959" w:type="dxa"/>
            <w:vAlign w:val="center"/>
          </w:tcPr>
          <w:p w14:paraId="58703894" w14:textId="5AC9D348" w:rsidR="004A157B" w:rsidRPr="00CB5608" w:rsidRDefault="00CB5608" w:rsidP="00CB5608">
            <w:pPr>
              <w:jc w:val="center"/>
              <w:rPr>
                <w:rFonts w:eastAsia="Times New Roman" w:cs="Times New Roman"/>
                <w:b/>
                <w:bCs/>
                <w:szCs w:val="28"/>
              </w:rPr>
            </w:pPr>
            <w:r w:rsidRPr="00CB5608">
              <w:rPr>
                <w:rFonts w:eastAsia="Times New Roman" w:cs="Times New Roman"/>
                <w:b/>
                <w:bCs/>
                <w:szCs w:val="28"/>
              </w:rPr>
              <w:t>11</w:t>
            </w:r>
          </w:p>
        </w:tc>
        <w:tc>
          <w:tcPr>
            <w:tcW w:w="3260" w:type="dxa"/>
          </w:tcPr>
          <w:p w14:paraId="64376286" w14:textId="0D22E31F" w:rsidR="004A157B" w:rsidRPr="00CB5608" w:rsidRDefault="004A157B" w:rsidP="00CB5608">
            <w:pPr>
              <w:jc w:val="both"/>
              <w:rPr>
                <w:rFonts w:eastAsia="Times New Roman" w:cs="Times New Roman"/>
                <w:szCs w:val="28"/>
              </w:rPr>
            </w:pPr>
            <w:r w:rsidRPr="004A157B">
              <w:rPr>
                <w:rFonts w:eastAsia="Times New Roman" w:cs="Times New Roman"/>
                <w:szCs w:val="28"/>
              </w:rPr>
              <w:t>Điều 11. Trình tự thực hiện</w:t>
            </w:r>
          </w:p>
        </w:tc>
        <w:tc>
          <w:tcPr>
            <w:tcW w:w="4394" w:type="dxa"/>
          </w:tcPr>
          <w:p w14:paraId="3BCBA9F0" w14:textId="4EE900F0" w:rsidR="004A157B" w:rsidRPr="00CB5608" w:rsidRDefault="004A157B" w:rsidP="00CB5608">
            <w:pPr>
              <w:jc w:val="both"/>
              <w:rPr>
                <w:rFonts w:eastAsia="Times New Roman" w:cs="Times New Roman"/>
                <w:szCs w:val="28"/>
              </w:rPr>
            </w:pPr>
            <w:r w:rsidRPr="004A157B">
              <w:rPr>
                <w:rFonts w:eastAsia="Times New Roman" w:cs="Times New Roman"/>
                <w:szCs w:val="28"/>
              </w:rPr>
              <w:t>Luật Tổ chức chính quyền địa phương; cải cách thủ tục hành chính</w:t>
            </w:r>
          </w:p>
        </w:tc>
        <w:tc>
          <w:tcPr>
            <w:tcW w:w="6175" w:type="dxa"/>
          </w:tcPr>
          <w:p w14:paraId="0F432E50" w14:textId="5886C756" w:rsidR="004A157B" w:rsidRPr="00CB5608" w:rsidRDefault="004A157B" w:rsidP="00CB5608">
            <w:pPr>
              <w:jc w:val="both"/>
              <w:rPr>
                <w:rFonts w:eastAsia="Times New Roman" w:cs="Times New Roman"/>
                <w:szCs w:val="28"/>
              </w:rPr>
            </w:pPr>
            <w:r w:rsidRPr="004A157B">
              <w:rPr>
                <w:rFonts w:eastAsia="Times New Roman" w:cs="Times New Roman"/>
                <w:szCs w:val="28"/>
              </w:rPr>
              <w:t>Quy định rõ quy trình tiếp nhận, thẩm định và giải quyết hồ sơ nhằm rút ngắn thời gian xử lý, nâng cao hiệu quả phục vụ người dân và doanh nghiệp.</w:t>
            </w:r>
          </w:p>
        </w:tc>
      </w:tr>
      <w:tr w:rsidR="004A157B" w14:paraId="3AFC4913" w14:textId="77777777" w:rsidTr="00111DE1">
        <w:tc>
          <w:tcPr>
            <w:tcW w:w="959" w:type="dxa"/>
            <w:vAlign w:val="center"/>
          </w:tcPr>
          <w:p w14:paraId="6592AF05" w14:textId="0BBB5411" w:rsidR="004A157B" w:rsidRPr="00CB5608" w:rsidRDefault="00CB5608" w:rsidP="00CB5608">
            <w:pPr>
              <w:jc w:val="center"/>
              <w:rPr>
                <w:rFonts w:eastAsia="Times New Roman" w:cs="Times New Roman"/>
                <w:b/>
                <w:bCs/>
                <w:szCs w:val="28"/>
              </w:rPr>
            </w:pPr>
            <w:r w:rsidRPr="00CB5608">
              <w:rPr>
                <w:rFonts w:eastAsia="Times New Roman" w:cs="Times New Roman"/>
                <w:b/>
                <w:bCs/>
                <w:szCs w:val="28"/>
              </w:rPr>
              <w:lastRenderedPageBreak/>
              <w:t>12</w:t>
            </w:r>
          </w:p>
        </w:tc>
        <w:tc>
          <w:tcPr>
            <w:tcW w:w="3260" w:type="dxa"/>
          </w:tcPr>
          <w:p w14:paraId="475131E6" w14:textId="5EBAE249" w:rsidR="004A157B" w:rsidRPr="00CB5608" w:rsidRDefault="004A157B" w:rsidP="00CB5608">
            <w:pPr>
              <w:jc w:val="both"/>
              <w:rPr>
                <w:rFonts w:eastAsia="Times New Roman" w:cs="Times New Roman"/>
                <w:szCs w:val="28"/>
              </w:rPr>
            </w:pPr>
            <w:r w:rsidRPr="004A157B">
              <w:rPr>
                <w:rFonts w:eastAsia="Times New Roman" w:cs="Times New Roman"/>
                <w:szCs w:val="28"/>
              </w:rPr>
              <w:t>Điều 12. Cơ quan chủ trì thẩm định</w:t>
            </w:r>
          </w:p>
        </w:tc>
        <w:tc>
          <w:tcPr>
            <w:tcW w:w="4394" w:type="dxa"/>
            <w:vAlign w:val="center"/>
          </w:tcPr>
          <w:p w14:paraId="10F431A7" w14:textId="01C03924" w:rsidR="004A157B" w:rsidRPr="00CB5608" w:rsidRDefault="004A157B" w:rsidP="00CB5608">
            <w:pPr>
              <w:jc w:val="both"/>
              <w:rPr>
                <w:rFonts w:eastAsia="Times New Roman" w:cs="Times New Roman"/>
                <w:szCs w:val="28"/>
              </w:rPr>
            </w:pPr>
            <w:r w:rsidRPr="004A157B">
              <w:rPr>
                <w:rFonts w:eastAsia="Times New Roman" w:cs="Times New Roman"/>
                <w:szCs w:val="28"/>
              </w:rPr>
              <w:t>Quy định chức năng, nhiệm vụ của các sở, ngành</w:t>
            </w:r>
          </w:p>
        </w:tc>
        <w:tc>
          <w:tcPr>
            <w:tcW w:w="6175" w:type="dxa"/>
          </w:tcPr>
          <w:p w14:paraId="03219921" w14:textId="3D351830" w:rsidR="004A157B" w:rsidRPr="00CB5608" w:rsidRDefault="004A157B" w:rsidP="00CB5608">
            <w:pPr>
              <w:jc w:val="both"/>
              <w:rPr>
                <w:rFonts w:eastAsia="Times New Roman" w:cs="Times New Roman"/>
                <w:szCs w:val="28"/>
              </w:rPr>
            </w:pPr>
            <w:r w:rsidRPr="004A157B">
              <w:rPr>
                <w:rFonts w:eastAsia="Times New Roman" w:cs="Times New Roman"/>
                <w:szCs w:val="28"/>
              </w:rPr>
              <w:t>Phân công trách nhiệm cho các cơ quan chuyên môn theo lĩnh vực quản lý nhằm nâng cao tính chuyên môn hóa và trách nhiệm trong quá trình thực hiện.</w:t>
            </w:r>
          </w:p>
        </w:tc>
      </w:tr>
      <w:tr w:rsidR="004A157B" w14:paraId="68A86908" w14:textId="77777777" w:rsidTr="000F3EF7">
        <w:tc>
          <w:tcPr>
            <w:tcW w:w="959" w:type="dxa"/>
            <w:vAlign w:val="center"/>
          </w:tcPr>
          <w:p w14:paraId="305F0812" w14:textId="2C94BAA9" w:rsidR="004A157B" w:rsidRPr="00CB5608" w:rsidRDefault="00CB5608" w:rsidP="00CB5608">
            <w:pPr>
              <w:jc w:val="center"/>
              <w:rPr>
                <w:rFonts w:eastAsia="Times New Roman" w:cs="Times New Roman"/>
                <w:b/>
                <w:bCs/>
                <w:szCs w:val="28"/>
              </w:rPr>
            </w:pPr>
            <w:r w:rsidRPr="00CB5608">
              <w:rPr>
                <w:rFonts w:eastAsia="Times New Roman" w:cs="Times New Roman"/>
                <w:b/>
                <w:bCs/>
                <w:szCs w:val="28"/>
              </w:rPr>
              <w:t>13</w:t>
            </w:r>
          </w:p>
        </w:tc>
        <w:tc>
          <w:tcPr>
            <w:tcW w:w="3260" w:type="dxa"/>
            <w:vAlign w:val="center"/>
          </w:tcPr>
          <w:p w14:paraId="48C56278" w14:textId="49EC0BBC" w:rsidR="004A157B" w:rsidRPr="00CB5608" w:rsidRDefault="004A157B" w:rsidP="00CB5608">
            <w:pPr>
              <w:jc w:val="both"/>
              <w:rPr>
                <w:rFonts w:eastAsia="Times New Roman" w:cs="Times New Roman"/>
                <w:szCs w:val="28"/>
              </w:rPr>
            </w:pPr>
            <w:r w:rsidRPr="004A157B">
              <w:rPr>
                <w:rFonts w:eastAsia="Times New Roman" w:cs="Times New Roman"/>
                <w:szCs w:val="28"/>
              </w:rPr>
              <w:t>Điều 13. Chế độ báo cáo</w:t>
            </w:r>
          </w:p>
        </w:tc>
        <w:tc>
          <w:tcPr>
            <w:tcW w:w="4394" w:type="dxa"/>
          </w:tcPr>
          <w:p w14:paraId="575F7DD1" w14:textId="02F7C219" w:rsidR="004A157B" w:rsidRPr="00CB5608" w:rsidRDefault="004A157B" w:rsidP="00CB5608">
            <w:pPr>
              <w:jc w:val="both"/>
              <w:rPr>
                <w:rFonts w:eastAsia="Times New Roman" w:cs="Times New Roman"/>
                <w:szCs w:val="28"/>
              </w:rPr>
            </w:pPr>
            <w:r w:rsidRPr="004A157B">
              <w:rPr>
                <w:rFonts w:eastAsia="Times New Roman" w:cs="Times New Roman"/>
                <w:szCs w:val="28"/>
              </w:rPr>
              <w:t>Luật Thanh tra; Luật Ngân sách nhà nước</w:t>
            </w:r>
          </w:p>
        </w:tc>
        <w:tc>
          <w:tcPr>
            <w:tcW w:w="6175" w:type="dxa"/>
          </w:tcPr>
          <w:p w14:paraId="056AAE2B" w14:textId="0C1BB07F" w:rsidR="004A157B" w:rsidRPr="00CB5608" w:rsidRDefault="004A157B" w:rsidP="00CB5608">
            <w:pPr>
              <w:jc w:val="both"/>
              <w:rPr>
                <w:rFonts w:eastAsia="Times New Roman" w:cs="Times New Roman"/>
                <w:szCs w:val="28"/>
              </w:rPr>
            </w:pPr>
            <w:r w:rsidRPr="004A157B">
              <w:rPr>
                <w:rFonts w:eastAsia="Times New Roman" w:cs="Times New Roman"/>
                <w:szCs w:val="28"/>
              </w:rPr>
              <w:t>Quy định chế độ báo cáo định kỳ nhằm phục vụ công tác kiểm tra, giám sát, đánh giá hiệu quả sử dụng chính sách ưu đãi, hỗ trợ.</w:t>
            </w:r>
          </w:p>
        </w:tc>
      </w:tr>
      <w:tr w:rsidR="004A157B" w14:paraId="179BB0D5" w14:textId="77777777" w:rsidTr="000F3EF7">
        <w:tc>
          <w:tcPr>
            <w:tcW w:w="959" w:type="dxa"/>
            <w:vAlign w:val="center"/>
          </w:tcPr>
          <w:p w14:paraId="05A60667" w14:textId="60C9BEDB" w:rsidR="004A157B" w:rsidRPr="00CB5608" w:rsidRDefault="00CB5608" w:rsidP="00CB5608">
            <w:pPr>
              <w:jc w:val="center"/>
              <w:rPr>
                <w:rFonts w:eastAsia="Times New Roman" w:cs="Times New Roman"/>
                <w:b/>
                <w:bCs/>
                <w:szCs w:val="28"/>
              </w:rPr>
            </w:pPr>
            <w:r w:rsidRPr="00CB5608">
              <w:rPr>
                <w:rFonts w:eastAsia="Times New Roman" w:cs="Times New Roman"/>
                <w:b/>
                <w:bCs/>
                <w:szCs w:val="28"/>
              </w:rPr>
              <w:t>14</w:t>
            </w:r>
          </w:p>
        </w:tc>
        <w:tc>
          <w:tcPr>
            <w:tcW w:w="3260" w:type="dxa"/>
            <w:vAlign w:val="center"/>
          </w:tcPr>
          <w:p w14:paraId="4D505FF4" w14:textId="14D60337" w:rsidR="004A157B" w:rsidRPr="00CB5608" w:rsidRDefault="004A157B" w:rsidP="00CB5608">
            <w:pPr>
              <w:jc w:val="both"/>
              <w:rPr>
                <w:rFonts w:eastAsia="Times New Roman" w:cs="Times New Roman"/>
                <w:szCs w:val="28"/>
              </w:rPr>
            </w:pPr>
            <w:r w:rsidRPr="004A157B">
              <w:rPr>
                <w:rFonts w:eastAsia="Times New Roman" w:cs="Times New Roman"/>
                <w:szCs w:val="28"/>
              </w:rPr>
              <w:t>Điều 14. Thu hồi ưu đãi, hỗ trợ</w:t>
            </w:r>
          </w:p>
        </w:tc>
        <w:tc>
          <w:tcPr>
            <w:tcW w:w="4394" w:type="dxa"/>
          </w:tcPr>
          <w:p w14:paraId="1F7DF8DF" w14:textId="76AAF2BE" w:rsidR="004A157B" w:rsidRPr="00CB5608" w:rsidRDefault="004A157B" w:rsidP="00CB5608">
            <w:pPr>
              <w:jc w:val="both"/>
              <w:rPr>
                <w:rFonts w:eastAsia="Times New Roman" w:cs="Times New Roman"/>
                <w:szCs w:val="28"/>
              </w:rPr>
            </w:pPr>
            <w:r w:rsidRPr="004A157B">
              <w:rPr>
                <w:rFonts w:eastAsia="Times New Roman" w:cs="Times New Roman"/>
                <w:szCs w:val="28"/>
              </w:rPr>
              <w:t>Luật Đầu tư; Luật Ngân sách nhà nước</w:t>
            </w:r>
          </w:p>
        </w:tc>
        <w:tc>
          <w:tcPr>
            <w:tcW w:w="6175" w:type="dxa"/>
          </w:tcPr>
          <w:p w14:paraId="3EC145B3" w14:textId="66B68F47" w:rsidR="004A157B" w:rsidRPr="00CB5608" w:rsidRDefault="004A157B" w:rsidP="00CB5608">
            <w:pPr>
              <w:jc w:val="both"/>
              <w:rPr>
                <w:rFonts w:eastAsia="Times New Roman" w:cs="Times New Roman"/>
                <w:szCs w:val="28"/>
              </w:rPr>
            </w:pPr>
            <w:r w:rsidRPr="004A157B">
              <w:rPr>
                <w:rFonts w:eastAsia="Times New Roman" w:cs="Times New Roman"/>
                <w:szCs w:val="28"/>
              </w:rPr>
              <w:t>Quy định cơ chế thu hồi ưu đãi trong trường hợp vi phạm nhằm bảo đảm tính ràng buộc pháp lý, phòng ngừa thất thoát ngân sách và nâng cao hiệu quả quản lý nhà nước.</w:t>
            </w:r>
          </w:p>
        </w:tc>
      </w:tr>
      <w:tr w:rsidR="004A157B" w14:paraId="4B8ADF5A" w14:textId="77777777" w:rsidTr="000F3EF7">
        <w:tc>
          <w:tcPr>
            <w:tcW w:w="959" w:type="dxa"/>
            <w:vAlign w:val="center"/>
          </w:tcPr>
          <w:p w14:paraId="4D5C49CF" w14:textId="36ABD31E" w:rsidR="004A157B" w:rsidRPr="00CB5608" w:rsidRDefault="00CB5608" w:rsidP="00CB5608">
            <w:pPr>
              <w:jc w:val="center"/>
              <w:rPr>
                <w:rFonts w:eastAsia="Times New Roman" w:cs="Times New Roman"/>
                <w:b/>
                <w:bCs/>
                <w:szCs w:val="28"/>
              </w:rPr>
            </w:pPr>
            <w:r w:rsidRPr="00CB5608">
              <w:rPr>
                <w:rFonts w:eastAsia="Times New Roman" w:cs="Times New Roman"/>
                <w:b/>
                <w:bCs/>
                <w:szCs w:val="28"/>
              </w:rPr>
              <w:t>15</w:t>
            </w:r>
          </w:p>
        </w:tc>
        <w:tc>
          <w:tcPr>
            <w:tcW w:w="3260" w:type="dxa"/>
            <w:vAlign w:val="center"/>
          </w:tcPr>
          <w:p w14:paraId="6888580C" w14:textId="013A91B9" w:rsidR="004A157B" w:rsidRPr="00CB5608" w:rsidRDefault="004A157B" w:rsidP="00CB5608">
            <w:pPr>
              <w:jc w:val="both"/>
              <w:rPr>
                <w:rFonts w:eastAsia="Times New Roman" w:cs="Times New Roman"/>
                <w:szCs w:val="28"/>
              </w:rPr>
            </w:pPr>
            <w:r w:rsidRPr="004A157B">
              <w:rPr>
                <w:rFonts w:eastAsia="Times New Roman" w:cs="Times New Roman"/>
                <w:szCs w:val="28"/>
              </w:rPr>
              <w:t>Điều 15. Tổ chức thực hiện</w:t>
            </w:r>
          </w:p>
        </w:tc>
        <w:tc>
          <w:tcPr>
            <w:tcW w:w="4394" w:type="dxa"/>
          </w:tcPr>
          <w:p w14:paraId="51A6B9FF" w14:textId="604E00CA" w:rsidR="004A157B" w:rsidRPr="00CB5608" w:rsidRDefault="004A157B" w:rsidP="00CB5608">
            <w:pPr>
              <w:jc w:val="both"/>
              <w:rPr>
                <w:rFonts w:eastAsia="Times New Roman" w:cs="Times New Roman"/>
                <w:szCs w:val="28"/>
              </w:rPr>
            </w:pPr>
            <w:r w:rsidRPr="004A157B">
              <w:rPr>
                <w:rFonts w:eastAsia="Times New Roman" w:cs="Times New Roman"/>
                <w:szCs w:val="28"/>
              </w:rPr>
              <w:t>Luật Tổ chức chính quyền địa phương</w:t>
            </w:r>
          </w:p>
        </w:tc>
        <w:tc>
          <w:tcPr>
            <w:tcW w:w="6175" w:type="dxa"/>
          </w:tcPr>
          <w:p w14:paraId="043A4C39" w14:textId="1DD332DB" w:rsidR="004A157B" w:rsidRPr="00CB5608" w:rsidRDefault="004A157B" w:rsidP="00CB5608">
            <w:pPr>
              <w:jc w:val="both"/>
              <w:rPr>
                <w:rFonts w:eastAsia="Times New Roman" w:cs="Times New Roman"/>
                <w:szCs w:val="28"/>
              </w:rPr>
            </w:pPr>
            <w:r w:rsidRPr="004A157B">
              <w:rPr>
                <w:rFonts w:eastAsia="Times New Roman" w:cs="Times New Roman"/>
                <w:szCs w:val="28"/>
              </w:rPr>
              <w:t>Quy định trách nhiệm của UBND Thành phố, HĐND Thành phố và các cơ quan liên quan trong việc tổ chức thực hiện và giám sát thi hành Nghị quyết.</w:t>
            </w:r>
          </w:p>
        </w:tc>
      </w:tr>
      <w:tr w:rsidR="004A157B" w14:paraId="26F9E26E" w14:textId="77777777" w:rsidTr="000F3EF7">
        <w:tc>
          <w:tcPr>
            <w:tcW w:w="959" w:type="dxa"/>
            <w:vAlign w:val="center"/>
          </w:tcPr>
          <w:p w14:paraId="03A47F11" w14:textId="78CEED87" w:rsidR="004A157B" w:rsidRPr="00CB5608" w:rsidRDefault="00CB5608" w:rsidP="00CB5608">
            <w:pPr>
              <w:jc w:val="center"/>
              <w:rPr>
                <w:rFonts w:eastAsia="Times New Roman" w:cs="Times New Roman"/>
                <w:b/>
                <w:bCs/>
                <w:szCs w:val="28"/>
              </w:rPr>
            </w:pPr>
            <w:r w:rsidRPr="00CB5608">
              <w:rPr>
                <w:rFonts w:eastAsia="Times New Roman" w:cs="Times New Roman"/>
                <w:b/>
                <w:bCs/>
                <w:szCs w:val="28"/>
              </w:rPr>
              <w:t>16</w:t>
            </w:r>
          </w:p>
        </w:tc>
        <w:tc>
          <w:tcPr>
            <w:tcW w:w="3260" w:type="dxa"/>
            <w:vAlign w:val="center"/>
          </w:tcPr>
          <w:p w14:paraId="58AB517E" w14:textId="4DE683D9" w:rsidR="004A157B" w:rsidRPr="00CB5608" w:rsidRDefault="004A157B" w:rsidP="00CB5608">
            <w:pPr>
              <w:jc w:val="both"/>
              <w:rPr>
                <w:rFonts w:eastAsia="Times New Roman" w:cs="Times New Roman"/>
                <w:szCs w:val="28"/>
              </w:rPr>
            </w:pPr>
            <w:r w:rsidRPr="004A157B">
              <w:rPr>
                <w:rFonts w:eastAsia="Times New Roman" w:cs="Times New Roman"/>
                <w:szCs w:val="28"/>
              </w:rPr>
              <w:t>Điều 16. Hiệu lực thi hành</w:t>
            </w:r>
          </w:p>
        </w:tc>
        <w:tc>
          <w:tcPr>
            <w:tcW w:w="4394" w:type="dxa"/>
          </w:tcPr>
          <w:p w14:paraId="3F622FF5" w14:textId="3719BEAF" w:rsidR="004A157B" w:rsidRPr="00CB5608" w:rsidRDefault="004A157B" w:rsidP="00CB5608">
            <w:pPr>
              <w:jc w:val="both"/>
              <w:rPr>
                <w:rFonts w:eastAsia="Times New Roman" w:cs="Times New Roman"/>
                <w:szCs w:val="28"/>
              </w:rPr>
            </w:pPr>
            <w:r w:rsidRPr="004A157B">
              <w:rPr>
                <w:rFonts w:eastAsia="Times New Roman" w:cs="Times New Roman"/>
                <w:szCs w:val="28"/>
              </w:rPr>
              <w:t>Luật Ban hành văn bản quy phạm pháp luật</w:t>
            </w:r>
          </w:p>
        </w:tc>
        <w:tc>
          <w:tcPr>
            <w:tcW w:w="6175" w:type="dxa"/>
          </w:tcPr>
          <w:p w14:paraId="34D69409" w14:textId="458CEFF7" w:rsidR="004A157B" w:rsidRPr="00CB5608" w:rsidRDefault="004A157B" w:rsidP="00CB5608">
            <w:pPr>
              <w:jc w:val="both"/>
              <w:rPr>
                <w:rFonts w:eastAsia="Times New Roman" w:cs="Times New Roman"/>
                <w:szCs w:val="28"/>
              </w:rPr>
            </w:pPr>
            <w:r w:rsidRPr="004A157B">
              <w:rPr>
                <w:rFonts w:eastAsia="Times New Roman" w:cs="Times New Roman"/>
                <w:szCs w:val="28"/>
              </w:rPr>
              <w:t>Quy định thời điểm có hiệu lực của Nghị quyết để bảo đảm tính thống nhất và thuận lợi trong quá trình tổ chức thực hiện.</w:t>
            </w:r>
          </w:p>
        </w:tc>
      </w:tr>
    </w:tbl>
    <w:p w14:paraId="02C7F976" w14:textId="77777777" w:rsidR="002D75BA" w:rsidRDefault="002D75BA" w:rsidP="002D75BA">
      <w:pPr>
        <w:jc w:val="center"/>
        <w:rPr>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4A157B" w:rsidRPr="004A157B" w14:paraId="7D0DB903" w14:textId="77777777" w:rsidTr="004A157B">
        <w:trPr>
          <w:tblHeader/>
          <w:tblCellSpacing w:w="15" w:type="dxa"/>
        </w:trPr>
        <w:tc>
          <w:tcPr>
            <w:tcW w:w="0" w:type="auto"/>
            <w:vAlign w:val="center"/>
            <w:hideMark/>
          </w:tcPr>
          <w:p w14:paraId="77EF1342" w14:textId="663CC72D" w:rsidR="004A157B" w:rsidRPr="004A157B" w:rsidRDefault="004A157B" w:rsidP="004A157B">
            <w:pPr>
              <w:spacing w:before="0"/>
              <w:jc w:val="center"/>
              <w:rPr>
                <w:rFonts w:eastAsia="Times New Roman" w:cs="Times New Roman"/>
                <w:b/>
                <w:bCs/>
                <w:sz w:val="24"/>
                <w:szCs w:val="24"/>
              </w:rPr>
            </w:pPr>
          </w:p>
        </w:tc>
        <w:tc>
          <w:tcPr>
            <w:tcW w:w="0" w:type="auto"/>
            <w:vAlign w:val="center"/>
            <w:hideMark/>
          </w:tcPr>
          <w:p w14:paraId="29C2C38A" w14:textId="3D77C3FA" w:rsidR="004A157B" w:rsidRPr="004A157B" w:rsidRDefault="004A157B" w:rsidP="004A157B">
            <w:pPr>
              <w:spacing w:before="0"/>
              <w:jc w:val="center"/>
              <w:rPr>
                <w:rFonts w:eastAsia="Times New Roman" w:cs="Times New Roman"/>
                <w:b/>
                <w:bCs/>
                <w:sz w:val="24"/>
                <w:szCs w:val="24"/>
              </w:rPr>
            </w:pPr>
          </w:p>
        </w:tc>
        <w:tc>
          <w:tcPr>
            <w:tcW w:w="0" w:type="auto"/>
            <w:vAlign w:val="center"/>
            <w:hideMark/>
          </w:tcPr>
          <w:p w14:paraId="2FD442A6" w14:textId="62432A21" w:rsidR="004A157B" w:rsidRPr="004A157B" w:rsidRDefault="004A157B" w:rsidP="004A157B">
            <w:pPr>
              <w:spacing w:before="0"/>
              <w:jc w:val="center"/>
              <w:rPr>
                <w:rFonts w:eastAsia="Times New Roman" w:cs="Times New Roman"/>
                <w:b/>
                <w:bCs/>
                <w:sz w:val="24"/>
                <w:szCs w:val="24"/>
              </w:rPr>
            </w:pPr>
          </w:p>
        </w:tc>
      </w:tr>
    </w:tbl>
    <w:p w14:paraId="127F98B6" w14:textId="77777777" w:rsidR="004A157B" w:rsidRPr="004A157B" w:rsidRDefault="004A157B" w:rsidP="004A157B">
      <w:pPr>
        <w:spacing w:before="0"/>
        <w:rPr>
          <w:rFonts w:eastAsia="Times New Roman" w:cs="Times New Roman"/>
          <w:vanish/>
          <w:sz w:val="24"/>
          <w:szCs w:val="24"/>
        </w:rPr>
      </w:pPr>
    </w:p>
    <w:p w14:paraId="0D3C51C6" w14:textId="77777777" w:rsidR="004A157B" w:rsidRPr="004A157B" w:rsidRDefault="004A157B" w:rsidP="004A157B">
      <w:pPr>
        <w:spacing w:before="0"/>
        <w:rPr>
          <w:rFonts w:eastAsia="Times New Roman" w:cs="Times New Roman"/>
          <w:vanish/>
          <w:sz w:val="24"/>
          <w:szCs w:val="24"/>
        </w:rPr>
      </w:pPr>
    </w:p>
    <w:p w14:paraId="069F811E" w14:textId="77777777" w:rsidR="004A157B" w:rsidRPr="004A157B" w:rsidRDefault="004A157B" w:rsidP="004A157B">
      <w:pPr>
        <w:spacing w:before="0"/>
        <w:rPr>
          <w:rFonts w:eastAsia="Times New Roman" w:cs="Times New Roman"/>
          <w:vanish/>
          <w:sz w:val="24"/>
          <w:szCs w:val="24"/>
        </w:rPr>
      </w:pPr>
    </w:p>
    <w:p w14:paraId="4C21C61E" w14:textId="77777777" w:rsidR="004A157B" w:rsidRPr="004A157B" w:rsidRDefault="004A157B" w:rsidP="004A157B">
      <w:pPr>
        <w:spacing w:before="0"/>
        <w:rPr>
          <w:rFonts w:eastAsia="Times New Roman" w:cs="Times New Roman"/>
          <w:vanish/>
          <w:sz w:val="24"/>
          <w:szCs w:val="24"/>
        </w:rPr>
      </w:pPr>
    </w:p>
    <w:p w14:paraId="0E64F538" w14:textId="77777777" w:rsidR="002D75BA" w:rsidRPr="002D75BA" w:rsidRDefault="002D75BA" w:rsidP="002D75BA">
      <w:pPr>
        <w:jc w:val="center"/>
      </w:pPr>
    </w:p>
    <w:sectPr w:rsidR="002D75BA" w:rsidRPr="002D75BA" w:rsidSect="002D75BA">
      <w:headerReference w:type="default" r:id="rId7"/>
      <w:pgSz w:w="16840" w:h="11907" w:orient="landscape" w:code="9"/>
      <w:pgMar w:top="851" w:right="1134" w:bottom="1134" w:left="113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1B951" w14:textId="77777777" w:rsidR="00E004FE" w:rsidRDefault="00E004FE" w:rsidP="001C5038">
      <w:pPr>
        <w:spacing w:before="0"/>
      </w:pPr>
      <w:r>
        <w:separator/>
      </w:r>
    </w:p>
  </w:endnote>
  <w:endnote w:type="continuationSeparator" w:id="0">
    <w:p w14:paraId="64628DBD" w14:textId="77777777" w:rsidR="00E004FE" w:rsidRDefault="00E004FE" w:rsidP="001C503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26D2B" w14:textId="77777777" w:rsidR="00E004FE" w:rsidRDefault="00E004FE" w:rsidP="001C5038">
      <w:pPr>
        <w:spacing w:before="0"/>
      </w:pPr>
      <w:r>
        <w:separator/>
      </w:r>
    </w:p>
  </w:footnote>
  <w:footnote w:type="continuationSeparator" w:id="0">
    <w:p w14:paraId="4D5E42D6" w14:textId="77777777" w:rsidR="00E004FE" w:rsidRDefault="00E004FE" w:rsidP="001C5038">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757134"/>
      <w:docPartObj>
        <w:docPartGallery w:val="Page Numbers (Top of Page)"/>
        <w:docPartUnique/>
      </w:docPartObj>
    </w:sdtPr>
    <w:sdtEndPr>
      <w:rPr>
        <w:noProof/>
      </w:rPr>
    </w:sdtEndPr>
    <w:sdtContent>
      <w:p w14:paraId="5D4656C6" w14:textId="5FF46A38" w:rsidR="001C5038" w:rsidRDefault="001C5038">
        <w:pPr>
          <w:pStyle w:val="Header"/>
          <w:jc w:val="center"/>
        </w:pPr>
        <w:r>
          <w:fldChar w:fldCharType="begin"/>
        </w:r>
        <w:r>
          <w:instrText xml:space="preserve"> PAGE   \* MERGEFORMAT </w:instrText>
        </w:r>
        <w:r>
          <w:fldChar w:fldCharType="separate"/>
        </w:r>
        <w:r w:rsidR="0006232D">
          <w:rPr>
            <w:noProof/>
          </w:rPr>
          <w:t>2</w:t>
        </w:r>
        <w:r>
          <w:rPr>
            <w:noProof/>
          </w:rPr>
          <w:fldChar w:fldCharType="end"/>
        </w:r>
      </w:p>
    </w:sdtContent>
  </w:sdt>
  <w:p w14:paraId="6E7BD3F3" w14:textId="77777777" w:rsidR="001C5038" w:rsidRDefault="001C50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22201"/>
    <w:multiLevelType w:val="multilevel"/>
    <w:tmpl w:val="87BE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D23742"/>
    <w:multiLevelType w:val="multilevel"/>
    <w:tmpl w:val="52C8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235148"/>
    <w:multiLevelType w:val="multilevel"/>
    <w:tmpl w:val="EC42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71"/>
    <w:rsid w:val="00000623"/>
    <w:rsid w:val="00002BF5"/>
    <w:rsid w:val="00006DDD"/>
    <w:rsid w:val="00013A14"/>
    <w:rsid w:val="00014A56"/>
    <w:rsid w:val="000230A0"/>
    <w:rsid w:val="000315B2"/>
    <w:rsid w:val="00031BFC"/>
    <w:rsid w:val="00031CD0"/>
    <w:rsid w:val="00033C34"/>
    <w:rsid w:val="00033E2B"/>
    <w:rsid w:val="00046EF5"/>
    <w:rsid w:val="00047E6D"/>
    <w:rsid w:val="000500E5"/>
    <w:rsid w:val="0005768D"/>
    <w:rsid w:val="00057F56"/>
    <w:rsid w:val="00062293"/>
    <w:rsid w:val="0006232D"/>
    <w:rsid w:val="0007004A"/>
    <w:rsid w:val="000711E7"/>
    <w:rsid w:val="00073E68"/>
    <w:rsid w:val="000915A5"/>
    <w:rsid w:val="00091BDA"/>
    <w:rsid w:val="00093D8E"/>
    <w:rsid w:val="0009482E"/>
    <w:rsid w:val="00097DF2"/>
    <w:rsid w:val="000A068E"/>
    <w:rsid w:val="000A3044"/>
    <w:rsid w:val="000A3D8E"/>
    <w:rsid w:val="000B2447"/>
    <w:rsid w:val="000B37FB"/>
    <w:rsid w:val="000C3BD1"/>
    <w:rsid w:val="000D1482"/>
    <w:rsid w:val="000D185F"/>
    <w:rsid w:val="000D2E3F"/>
    <w:rsid w:val="000D43D4"/>
    <w:rsid w:val="000D62A3"/>
    <w:rsid w:val="000E2654"/>
    <w:rsid w:val="000E6467"/>
    <w:rsid w:val="000F1B1A"/>
    <w:rsid w:val="000F218D"/>
    <w:rsid w:val="000F52C6"/>
    <w:rsid w:val="000F5E06"/>
    <w:rsid w:val="00101487"/>
    <w:rsid w:val="0011026C"/>
    <w:rsid w:val="00112257"/>
    <w:rsid w:val="00113223"/>
    <w:rsid w:val="00113B61"/>
    <w:rsid w:val="00114A3E"/>
    <w:rsid w:val="0011561D"/>
    <w:rsid w:val="0011756D"/>
    <w:rsid w:val="00120DFB"/>
    <w:rsid w:val="001222E7"/>
    <w:rsid w:val="00122579"/>
    <w:rsid w:val="001227F4"/>
    <w:rsid w:val="0012315D"/>
    <w:rsid w:val="0012391F"/>
    <w:rsid w:val="0013310D"/>
    <w:rsid w:val="00134928"/>
    <w:rsid w:val="00134EFA"/>
    <w:rsid w:val="00141597"/>
    <w:rsid w:val="00142DE8"/>
    <w:rsid w:val="00156C92"/>
    <w:rsid w:val="001579C6"/>
    <w:rsid w:val="0016008B"/>
    <w:rsid w:val="001743BC"/>
    <w:rsid w:val="00175908"/>
    <w:rsid w:val="0018247D"/>
    <w:rsid w:val="00185FED"/>
    <w:rsid w:val="00196DF8"/>
    <w:rsid w:val="001A25D9"/>
    <w:rsid w:val="001A43F2"/>
    <w:rsid w:val="001A704A"/>
    <w:rsid w:val="001B0B0A"/>
    <w:rsid w:val="001B3A40"/>
    <w:rsid w:val="001C1FA8"/>
    <w:rsid w:val="001C417C"/>
    <w:rsid w:val="001C4199"/>
    <w:rsid w:val="001C5038"/>
    <w:rsid w:val="001C6556"/>
    <w:rsid w:val="001D1A41"/>
    <w:rsid w:val="001D6AC8"/>
    <w:rsid w:val="001D7238"/>
    <w:rsid w:val="001E3FC7"/>
    <w:rsid w:val="001F5737"/>
    <w:rsid w:val="001F7034"/>
    <w:rsid w:val="0020037A"/>
    <w:rsid w:val="00201362"/>
    <w:rsid w:val="00202189"/>
    <w:rsid w:val="00204413"/>
    <w:rsid w:val="002069DF"/>
    <w:rsid w:val="00216A2A"/>
    <w:rsid w:val="00220854"/>
    <w:rsid w:val="00222AC0"/>
    <w:rsid w:val="00235B25"/>
    <w:rsid w:val="00236782"/>
    <w:rsid w:val="00237071"/>
    <w:rsid w:val="00241227"/>
    <w:rsid w:val="00243705"/>
    <w:rsid w:val="00250332"/>
    <w:rsid w:val="002524D8"/>
    <w:rsid w:val="002574ED"/>
    <w:rsid w:val="00277646"/>
    <w:rsid w:val="0028251D"/>
    <w:rsid w:val="002838E2"/>
    <w:rsid w:val="00294551"/>
    <w:rsid w:val="00297AA8"/>
    <w:rsid w:val="002A3EAC"/>
    <w:rsid w:val="002B350E"/>
    <w:rsid w:val="002C0C12"/>
    <w:rsid w:val="002D1CE6"/>
    <w:rsid w:val="002D30B0"/>
    <w:rsid w:val="002D75BA"/>
    <w:rsid w:val="002E2060"/>
    <w:rsid w:val="002E3E79"/>
    <w:rsid w:val="002F04A0"/>
    <w:rsid w:val="002F05E3"/>
    <w:rsid w:val="002F34A6"/>
    <w:rsid w:val="003151C5"/>
    <w:rsid w:val="00315606"/>
    <w:rsid w:val="00321D65"/>
    <w:rsid w:val="00322A87"/>
    <w:rsid w:val="003234DB"/>
    <w:rsid w:val="00323681"/>
    <w:rsid w:val="00327024"/>
    <w:rsid w:val="00341294"/>
    <w:rsid w:val="003473C9"/>
    <w:rsid w:val="00354ECE"/>
    <w:rsid w:val="003573BC"/>
    <w:rsid w:val="00360962"/>
    <w:rsid w:val="00364322"/>
    <w:rsid w:val="00371283"/>
    <w:rsid w:val="00373B82"/>
    <w:rsid w:val="00374D57"/>
    <w:rsid w:val="00375A3C"/>
    <w:rsid w:val="00386DFD"/>
    <w:rsid w:val="003919C5"/>
    <w:rsid w:val="00396930"/>
    <w:rsid w:val="00397543"/>
    <w:rsid w:val="003A2337"/>
    <w:rsid w:val="003A612C"/>
    <w:rsid w:val="003B0F71"/>
    <w:rsid w:val="003C67FA"/>
    <w:rsid w:val="003D5BC9"/>
    <w:rsid w:val="003E2F09"/>
    <w:rsid w:val="003F02FB"/>
    <w:rsid w:val="003F1ED2"/>
    <w:rsid w:val="003F2C56"/>
    <w:rsid w:val="00402E99"/>
    <w:rsid w:val="00403B0E"/>
    <w:rsid w:val="004045EB"/>
    <w:rsid w:val="0041585D"/>
    <w:rsid w:val="004238F5"/>
    <w:rsid w:val="00430DDB"/>
    <w:rsid w:val="00432413"/>
    <w:rsid w:val="00441925"/>
    <w:rsid w:val="0044410E"/>
    <w:rsid w:val="00444539"/>
    <w:rsid w:val="00444F91"/>
    <w:rsid w:val="00445628"/>
    <w:rsid w:val="00450931"/>
    <w:rsid w:val="00452510"/>
    <w:rsid w:val="00454F8B"/>
    <w:rsid w:val="00460F6A"/>
    <w:rsid w:val="0046218B"/>
    <w:rsid w:val="0048304A"/>
    <w:rsid w:val="0048420B"/>
    <w:rsid w:val="00486C03"/>
    <w:rsid w:val="00487729"/>
    <w:rsid w:val="004915B0"/>
    <w:rsid w:val="00495646"/>
    <w:rsid w:val="004A0D89"/>
    <w:rsid w:val="004A157B"/>
    <w:rsid w:val="004A2F52"/>
    <w:rsid w:val="004A6D48"/>
    <w:rsid w:val="004B1358"/>
    <w:rsid w:val="004B2E47"/>
    <w:rsid w:val="004B30F8"/>
    <w:rsid w:val="004B53A0"/>
    <w:rsid w:val="004B794D"/>
    <w:rsid w:val="004C5B9B"/>
    <w:rsid w:val="004C7D7B"/>
    <w:rsid w:val="004D2310"/>
    <w:rsid w:val="004D26D5"/>
    <w:rsid w:val="004D5643"/>
    <w:rsid w:val="004E2F2E"/>
    <w:rsid w:val="004E5F79"/>
    <w:rsid w:val="004E75A1"/>
    <w:rsid w:val="004F1158"/>
    <w:rsid w:val="004F4DAB"/>
    <w:rsid w:val="004F59E1"/>
    <w:rsid w:val="004F62C3"/>
    <w:rsid w:val="00501B44"/>
    <w:rsid w:val="00502897"/>
    <w:rsid w:val="00521443"/>
    <w:rsid w:val="0052160C"/>
    <w:rsid w:val="00524845"/>
    <w:rsid w:val="00525466"/>
    <w:rsid w:val="00526C14"/>
    <w:rsid w:val="00532332"/>
    <w:rsid w:val="0053318B"/>
    <w:rsid w:val="00534B1A"/>
    <w:rsid w:val="00536463"/>
    <w:rsid w:val="00537322"/>
    <w:rsid w:val="00544C55"/>
    <w:rsid w:val="005468D5"/>
    <w:rsid w:val="0055054C"/>
    <w:rsid w:val="005507A5"/>
    <w:rsid w:val="00554FC1"/>
    <w:rsid w:val="00555350"/>
    <w:rsid w:val="00561372"/>
    <w:rsid w:val="005654BA"/>
    <w:rsid w:val="00571D36"/>
    <w:rsid w:val="00576C21"/>
    <w:rsid w:val="0057739F"/>
    <w:rsid w:val="0058059B"/>
    <w:rsid w:val="00580DCF"/>
    <w:rsid w:val="00582EAA"/>
    <w:rsid w:val="005866E7"/>
    <w:rsid w:val="00596D87"/>
    <w:rsid w:val="005A25CA"/>
    <w:rsid w:val="005B2A1D"/>
    <w:rsid w:val="005B375B"/>
    <w:rsid w:val="005B4AEB"/>
    <w:rsid w:val="005C0B3D"/>
    <w:rsid w:val="005C59C9"/>
    <w:rsid w:val="005E06AC"/>
    <w:rsid w:val="005E7946"/>
    <w:rsid w:val="005F0671"/>
    <w:rsid w:val="005F760B"/>
    <w:rsid w:val="00600D5A"/>
    <w:rsid w:val="0060308E"/>
    <w:rsid w:val="006030D2"/>
    <w:rsid w:val="006067E7"/>
    <w:rsid w:val="00612EB8"/>
    <w:rsid w:val="006159F1"/>
    <w:rsid w:val="00624848"/>
    <w:rsid w:val="00624C9A"/>
    <w:rsid w:val="00630331"/>
    <w:rsid w:val="00631AA5"/>
    <w:rsid w:val="00632110"/>
    <w:rsid w:val="00633410"/>
    <w:rsid w:val="0063578A"/>
    <w:rsid w:val="00637C7C"/>
    <w:rsid w:val="00642F85"/>
    <w:rsid w:val="00650971"/>
    <w:rsid w:val="0065221B"/>
    <w:rsid w:val="006522A3"/>
    <w:rsid w:val="006536AE"/>
    <w:rsid w:val="00654A9D"/>
    <w:rsid w:val="006568F9"/>
    <w:rsid w:val="00661E06"/>
    <w:rsid w:val="0066796B"/>
    <w:rsid w:val="00673B9F"/>
    <w:rsid w:val="0067425A"/>
    <w:rsid w:val="006A359F"/>
    <w:rsid w:val="006A78CD"/>
    <w:rsid w:val="006B23B1"/>
    <w:rsid w:val="006C45C9"/>
    <w:rsid w:val="006C5BBD"/>
    <w:rsid w:val="006C7E49"/>
    <w:rsid w:val="006D4B5A"/>
    <w:rsid w:val="006E70F3"/>
    <w:rsid w:val="00701EB4"/>
    <w:rsid w:val="00720E7C"/>
    <w:rsid w:val="0073291C"/>
    <w:rsid w:val="00733378"/>
    <w:rsid w:val="007463E3"/>
    <w:rsid w:val="007466CF"/>
    <w:rsid w:val="00752FD4"/>
    <w:rsid w:val="007538DE"/>
    <w:rsid w:val="0075419F"/>
    <w:rsid w:val="00767171"/>
    <w:rsid w:val="00771AA2"/>
    <w:rsid w:val="00776EB8"/>
    <w:rsid w:val="007810A2"/>
    <w:rsid w:val="0078533E"/>
    <w:rsid w:val="007904CF"/>
    <w:rsid w:val="00793F33"/>
    <w:rsid w:val="00794BB0"/>
    <w:rsid w:val="007960C0"/>
    <w:rsid w:val="007974C8"/>
    <w:rsid w:val="007A03CA"/>
    <w:rsid w:val="007A2DB8"/>
    <w:rsid w:val="007A60DD"/>
    <w:rsid w:val="007B49C3"/>
    <w:rsid w:val="007B5FDE"/>
    <w:rsid w:val="007B7E64"/>
    <w:rsid w:val="007C34A8"/>
    <w:rsid w:val="007C724E"/>
    <w:rsid w:val="007E2109"/>
    <w:rsid w:val="007E4A01"/>
    <w:rsid w:val="007E63FC"/>
    <w:rsid w:val="007F05E2"/>
    <w:rsid w:val="007F17AA"/>
    <w:rsid w:val="007F2AC4"/>
    <w:rsid w:val="0080013F"/>
    <w:rsid w:val="00804F19"/>
    <w:rsid w:val="00811734"/>
    <w:rsid w:val="008145BF"/>
    <w:rsid w:val="00820006"/>
    <w:rsid w:val="008229EA"/>
    <w:rsid w:val="00824535"/>
    <w:rsid w:val="00836DC8"/>
    <w:rsid w:val="00847236"/>
    <w:rsid w:val="00876EEB"/>
    <w:rsid w:val="008770C4"/>
    <w:rsid w:val="00886962"/>
    <w:rsid w:val="00894238"/>
    <w:rsid w:val="008A2702"/>
    <w:rsid w:val="008A31E3"/>
    <w:rsid w:val="008A64E8"/>
    <w:rsid w:val="008B0076"/>
    <w:rsid w:val="008B0F4C"/>
    <w:rsid w:val="008C325D"/>
    <w:rsid w:val="008C5AF2"/>
    <w:rsid w:val="008C65D6"/>
    <w:rsid w:val="008C6AE8"/>
    <w:rsid w:val="008D321B"/>
    <w:rsid w:val="008D677A"/>
    <w:rsid w:val="008E14E1"/>
    <w:rsid w:val="008E1AD9"/>
    <w:rsid w:val="008E1CEE"/>
    <w:rsid w:val="008E2922"/>
    <w:rsid w:val="008E5584"/>
    <w:rsid w:val="008E603A"/>
    <w:rsid w:val="008E6ED8"/>
    <w:rsid w:val="008F3613"/>
    <w:rsid w:val="008F6887"/>
    <w:rsid w:val="00901DC2"/>
    <w:rsid w:val="00904724"/>
    <w:rsid w:val="00912579"/>
    <w:rsid w:val="00912E8C"/>
    <w:rsid w:val="009146E1"/>
    <w:rsid w:val="00916D64"/>
    <w:rsid w:val="0092402F"/>
    <w:rsid w:val="009317DE"/>
    <w:rsid w:val="00935273"/>
    <w:rsid w:val="00943DF5"/>
    <w:rsid w:val="00945500"/>
    <w:rsid w:val="009455AE"/>
    <w:rsid w:val="00950B31"/>
    <w:rsid w:val="00954A73"/>
    <w:rsid w:val="009617C9"/>
    <w:rsid w:val="00961AA9"/>
    <w:rsid w:val="00964774"/>
    <w:rsid w:val="00966575"/>
    <w:rsid w:val="00971605"/>
    <w:rsid w:val="00972407"/>
    <w:rsid w:val="00981B81"/>
    <w:rsid w:val="009844AF"/>
    <w:rsid w:val="00985AA0"/>
    <w:rsid w:val="00993051"/>
    <w:rsid w:val="00995255"/>
    <w:rsid w:val="009A04F8"/>
    <w:rsid w:val="009B254F"/>
    <w:rsid w:val="009B3398"/>
    <w:rsid w:val="009B419D"/>
    <w:rsid w:val="009B654B"/>
    <w:rsid w:val="009C3AB8"/>
    <w:rsid w:val="009C4EF6"/>
    <w:rsid w:val="009C6E8B"/>
    <w:rsid w:val="009D18C7"/>
    <w:rsid w:val="009D2C90"/>
    <w:rsid w:val="009D30BF"/>
    <w:rsid w:val="009D36FE"/>
    <w:rsid w:val="009D5D36"/>
    <w:rsid w:val="009F3B6C"/>
    <w:rsid w:val="009F6952"/>
    <w:rsid w:val="00A01721"/>
    <w:rsid w:val="00A05AA3"/>
    <w:rsid w:val="00A116E6"/>
    <w:rsid w:val="00A160CB"/>
    <w:rsid w:val="00A260E4"/>
    <w:rsid w:val="00A30DAB"/>
    <w:rsid w:val="00A33ABF"/>
    <w:rsid w:val="00A417D5"/>
    <w:rsid w:val="00A4546D"/>
    <w:rsid w:val="00A46AD8"/>
    <w:rsid w:val="00A51582"/>
    <w:rsid w:val="00A51E76"/>
    <w:rsid w:val="00A53C5B"/>
    <w:rsid w:val="00A63C2B"/>
    <w:rsid w:val="00A64EB5"/>
    <w:rsid w:val="00A760A2"/>
    <w:rsid w:val="00A76D0F"/>
    <w:rsid w:val="00A82FEC"/>
    <w:rsid w:val="00A84020"/>
    <w:rsid w:val="00A843B6"/>
    <w:rsid w:val="00A85AD8"/>
    <w:rsid w:val="00A8730D"/>
    <w:rsid w:val="00A90C56"/>
    <w:rsid w:val="00A92344"/>
    <w:rsid w:val="00A92584"/>
    <w:rsid w:val="00A972CF"/>
    <w:rsid w:val="00AA0FD2"/>
    <w:rsid w:val="00AA347F"/>
    <w:rsid w:val="00AA3752"/>
    <w:rsid w:val="00AA4DA7"/>
    <w:rsid w:val="00AA5C6B"/>
    <w:rsid w:val="00AA5D5A"/>
    <w:rsid w:val="00AA69E5"/>
    <w:rsid w:val="00AA7FFA"/>
    <w:rsid w:val="00AB66A5"/>
    <w:rsid w:val="00AD0C76"/>
    <w:rsid w:val="00AD43EB"/>
    <w:rsid w:val="00AE6955"/>
    <w:rsid w:val="00AE768F"/>
    <w:rsid w:val="00AF06A2"/>
    <w:rsid w:val="00AF1201"/>
    <w:rsid w:val="00AF6E58"/>
    <w:rsid w:val="00B01D4A"/>
    <w:rsid w:val="00B039CF"/>
    <w:rsid w:val="00B0624C"/>
    <w:rsid w:val="00B1183B"/>
    <w:rsid w:val="00B14228"/>
    <w:rsid w:val="00B1683A"/>
    <w:rsid w:val="00B21AA6"/>
    <w:rsid w:val="00B32A0C"/>
    <w:rsid w:val="00B4227D"/>
    <w:rsid w:val="00B423A5"/>
    <w:rsid w:val="00B44533"/>
    <w:rsid w:val="00B46521"/>
    <w:rsid w:val="00B47BBD"/>
    <w:rsid w:val="00B50D4B"/>
    <w:rsid w:val="00B54FBA"/>
    <w:rsid w:val="00B73205"/>
    <w:rsid w:val="00B772A6"/>
    <w:rsid w:val="00B77A6B"/>
    <w:rsid w:val="00B810A4"/>
    <w:rsid w:val="00B81696"/>
    <w:rsid w:val="00B81960"/>
    <w:rsid w:val="00B82776"/>
    <w:rsid w:val="00B83B11"/>
    <w:rsid w:val="00B848A7"/>
    <w:rsid w:val="00B93A2D"/>
    <w:rsid w:val="00B93B29"/>
    <w:rsid w:val="00B94BFD"/>
    <w:rsid w:val="00BA1370"/>
    <w:rsid w:val="00BA523E"/>
    <w:rsid w:val="00BA6C2D"/>
    <w:rsid w:val="00BB55C7"/>
    <w:rsid w:val="00BC2F14"/>
    <w:rsid w:val="00BD277C"/>
    <w:rsid w:val="00BD4193"/>
    <w:rsid w:val="00BD7D04"/>
    <w:rsid w:val="00BE083D"/>
    <w:rsid w:val="00BE1754"/>
    <w:rsid w:val="00BE4B0A"/>
    <w:rsid w:val="00BE4F1B"/>
    <w:rsid w:val="00BF0C17"/>
    <w:rsid w:val="00BF1D62"/>
    <w:rsid w:val="00BF2F7D"/>
    <w:rsid w:val="00C10D1E"/>
    <w:rsid w:val="00C133B3"/>
    <w:rsid w:val="00C259EB"/>
    <w:rsid w:val="00C2731B"/>
    <w:rsid w:val="00C27BCD"/>
    <w:rsid w:val="00C3560D"/>
    <w:rsid w:val="00C3741A"/>
    <w:rsid w:val="00C43DAA"/>
    <w:rsid w:val="00C44AE1"/>
    <w:rsid w:val="00C50923"/>
    <w:rsid w:val="00C5693C"/>
    <w:rsid w:val="00C56A7A"/>
    <w:rsid w:val="00C62E58"/>
    <w:rsid w:val="00C665CF"/>
    <w:rsid w:val="00C67F20"/>
    <w:rsid w:val="00C7213E"/>
    <w:rsid w:val="00C74778"/>
    <w:rsid w:val="00C83693"/>
    <w:rsid w:val="00C83B26"/>
    <w:rsid w:val="00C863B4"/>
    <w:rsid w:val="00C93256"/>
    <w:rsid w:val="00CA23DF"/>
    <w:rsid w:val="00CA54EE"/>
    <w:rsid w:val="00CB5608"/>
    <w:rsid w:val="00CB65C6"/>
    <w:rsid w:val="00CC3F76"/>
    <w:rsid w:val="00CE0420"/>
    <w:rsid w:val="00CF4387"/>
    <w:rsid w:val="00CF5689"/>
    <w:rsid w:val="00CF5B50"/>
    <w:rsid w:val="00D00625"/>
    <w:rsid w:val="00D07155"/>
    <w:rsid w:val="00D101F9"/>
    <w:rsid w:val="00D1236A"/>
    <w:rsid w:val="00D16817"/>
    <w:rsid w:val="00D30489"/>
    <w:rsid w:val="00D320AD"/>
    <w:rsid w:val="00D35AB9"/>
    <w:rsid w:val="00D36585"/>
    <w:rsid w:val="00D40D2E"/>
    <w:rsid w:val="00D476BC"/>
    <w:rsid w:val="00D53809"/>
    <w:rsid w:val="00D57073"/>
    <w:rsid w:val="00D63958"/>
    <w:rsid w:val="00D70AC9"/>
    <w:rsid w:val="00D73E8C"/>
    <w:rsid w:val="00D83B67"/>
    <w:rsid w:val="00D84417"/>
    <w:rsid w:val="00D85B31"/>
    <w:rsid w:val="00D92EC0"/>
    <w:rsid w:val="00D96F3F"/>
    <w:rsid w:val="00DA2A0D"/>
    <w:rsid w:val="00DA2A57"/>
    <w:rsid w:val="00DA54D6"/>
    <w:rsid w:val="00DB2CA1"/>
    <w:rsid w:val="00DB3416"/>
    <w:rsid w:val="00DB5D90"/>
    <w:rsid w:val="00DC05AA"/>
    <w:rsid w:val="00DC34A7"/>
    <w:rsid w:val="00DD5EAA"/>
    <w:rsid w:val="00DE2CE8"/>
    <w:rsid w:val="00DE3D11"/>
    <w:rsid w:val="00DE6F1E"/>
    <w:rsid w:val="00E004FE"/>
    <w:rsid w:val="00E028CB"/>
    <w:rsid w:val="00E05B06"/>
    <w:rsid w:val="00E07BB8"/>
    <w:rsid w:val="00E16F35"/>
    <w:rsid w:val="00E21210"/>
    <w:rsid w:val="00E21A55"/>
    <w:rsid w:val="00E24DC9"/>
    <w:rsid w:val="00E32396"/>
    <w:rsid w:val="00E40564"/>
    <w:rsid w:val="00E50F92"/>
    <w:rsid w:val="00E53405"/>
    <w:rsid w:val="00E53915"/>
    <w:rsid w:val="00E53F5F"/>
    <w:rsid w:val="00E55A13"/>
    <w:rsid w:val="00E605FE"/>
    <w:rsid w:val="00E65C77"/>
    <w:rsid w:val="00E70E05"/>
    <w:rsid w:val="00E751D6"/>
    <w:rsid w:val="00E80425"/>
    <w:rsid w:val="00E83E37"/>
    <w:rsid w:val="00E84CA3"/>
    <w:rsid w:val="00EA1B28"/>
    <w:rsid w:val="00EA4517"/>
    <w:rsid w:val="00EA65FE"/>
    <w:rsid w:val="00EC18F6"/>
    <w:rsid w:val="00EC2CE3"/>
    <w:rsid w:val="00EC7D65"/>
    <w:rsid w:val="00ED186F"/>
    <w:rsid w:val="00ED7AFA"/>
    <w:rsid w:val="00EE04A6"/>
    <w:rsid w:val="00EE5B6B"/>
    <w:rsid w:val="00EF1A48"/>
    <w:rsid w:val="00EF1CF5"/>
    <w:rsid w:val="00EF4C37"/>
    <w:rsid w:val="00EF4E1A"/>
    <w:rsid w:val="00EF5D13"/>
    <w:rsid w:val="00EF6236"/>
    <w:rsid w:val="00F00FCB"/>
    <w:rsid w:val="00F0401F"/>
    <w:rsid w:val="00F128B3"/>
    <w:rsid w:val="00F14A65"/>
    <w:rsid w:val="00F1500E"/>
    <w:rsid w:val="00F1541D"/>
    <w:rsid w:val="00F200BD"/>
    <w:rsid w:val="00F27889"/>
    <w:rsid w:val="00F346A9"/>
    <w:rsid w:val="00F34A13"/>
    <w:rsid w:val="00F41687"/>
    <w:rsid w:val="00F45C02"/>
    <w:rsid w:val="00F46169"/>
    <w:rsid w:val="00F475DF"/>
    <w:rsid w:val="00F5385D"/>
    <w:rsid w:val="00F53C25"/>
    <w:rsid w:val="00F56F9D"/>
    <w:rsid w:val="00F63C05"/>
    <w:rsid w:val="00F75F55"/>
    <w:rsid w:val="00F7730E"/>
    <w:rsid w:val="00F777F1"/>
    <w:rsid w:val="00F82068"/>
    <w:rsid w:val="00F90C58"/>
    <w:rsid w:val="00F9427C"/>
    <w:rsid w:val="00FA4551"/>
    <w:rsid w:val="00FA7800"/>
    <w:rsid w:val="00FB26CF"/>
    <w:rsid w:val="00FB4B57"/>
    <w:rsid w:val="00FB7495"/>
    <w:rsid w:val="00FC2BAB"/>
    <w:rsid w:val="00FD1287"/>
    <w:rsid w:val="00FD41EC"/>
    <w:rsid w:val="00FE135A"/>
    <w:rsid w:val="00FF01A9"/>
    <w:rsid w:val="00FF070D"/>
    <w:rsid w:val="00FF7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774C4"/>
  <w15:docId w15:val="{33233743-98F7-4B2F-9296-D27810E42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9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0971"/>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unhideWhenUsed/>
    <w:rsid w:val="00650971"/>
    <w:rPr>
      <w:color w:val="0000FF"/>
      <w:u w:val="single"/>
    </w:rPr>
  </w:style>
  <w:style w:type="table" w:styleId="TableGrid">
    <w:name w:val="Table Grid"/>
    <w:basedOn w:val="TableNormal"/>
    <w:uiPriority w:val="39"/>
    <w:rsid w:val="0065097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5038"/>
    <w:pPr>
      <w:tabs>
        <w:tab w:val="center" w:pos="4680"/>
        <w:tab w:val="right" w:pos="9360"/>
      </w:tabs>
      <w:spacing w:before="0"/>
    </w:pPr>
  </w:style>
  <w:style w:type="character" w:customStyle="1" w:styleId="HeaderChar">
    <w:name w:val="Header Char"/>
    <w:basedOn w:val="DefaultParagraphFont"/>
    <w:link w:val="Header"/>
    <w:uiPriority w:val="99"/>
    <w:rsid w:val="001C5038"/>
  </w:style>
  <w:style w:type="paragraph" w:styleId="Footer">
    <w:name w:val="footer"/>
    <w:basedOn w:val="Normal"/>
    <w:link w:val="FooterChar"/>
    <w:uiPriority w:val="99"/>
    <w:unhideWhenUsed/>
    <w:rsid w:val="001C5038"/>
    <w:pPr>
      <w:tabs>
        <w:tab w:val="center" w:pos="4680"/>
        <w:tab w:val="right" w:pos="9360"/>
      </w:tabs>
      <w:spacing w:before="0"/>
    </w:pPr>
  </w:style>
  <w:style w:type="character" w:customStyle="1" w:styleId="FooterChar">
    <w:name w:val="Footer Char"/>
    <w:basedOn w:val="DefaultParagraphFont"/>
    <w:link w:val="Footer"/>
    <w:uiPriority w:val="99"/>
    <w:rsid w:val="001C5038"/>
  </w:style>
  <w:style w:type="character" w:customStyle="1" w:styleId="UnresolvedMention">
    <w:name w:val="Unresolved Mention"/>
    <w:basedOn w:val="DefaultParagraphFont"/>
    <w:uiPriority w:val="99"/>
    <w:semiHidden/>
    <w:unhideWhenUsed/>
    <w:rsid w:val="000E6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905828">
      <w:bodyDiv w:val="1"/>
      <w:marLeft w:val="0"/>
      <w:marRight w:val="0"/>
      <w:marTop w:val="0"/>
      <w:marBottom w:val="0"/>
      <w:divBdr>
        <w:top w:val="none" w:sz="0" w:space="0" w:color="auto"/>
        <w:left w:val="none" w:sz="0" w:space="0" w:color="auto"/>
        <w:bottom w:val="none" w:sz="0" w:space="0" w:color="auto"/>
        <w:right w:val="none" w:sz="0" w:space="0" w:color="auto"/>
      </w:divBdr>
    </w:div>
    <w:div w:id="585387771">
      <w:bodyDiv w:val="1"/>
      <w:marLeft w:val="0"/>
      <w:marRight w:val="0"/>
      <w:marTop w:val="0"/>
      <w:marBottom w:val="0"/>
      <w:divBdr>
        <w:top w:val="none" w:sz="0" w:space="0" w:color="auto"/>
        <w:left w:val="none" w:sz="0" w:space="0" w:color="auto"/>
        <w:bottom w:val="none" w:sz="0" w:space="0" w:color="auto"/>
        <w:right w:val="none" w:sz="0" w:space="0" w:color="auto"/>
      </w:divBdr>
    </w:div>
    <w:div w:id="798572525">
      <w:bodyDiv w:val="1"/>
      <w:marLeft w:val="0"/>
      <w:marRight w:val="0"/>
      <w:marTop w:val="0"/>
      <w:marBottom w:val="0"/>
      <w:divBdr>
        <w:top w:val="none" w:sz="0" w:space="0" w:color="auto"/>
        <w:left w:val="none" w:sz="0" w:space="0" w:color="auto"/>
        <w:bottom w:val="none" w:sz="0" w:space="0" w:color="auto"/>
        <w:right w:val="none" w:sz="0" w:space="0" w:color="auto"/>
      </w:divBdr>
    </w:div>
    <w:div w:id="850804778">
      <w:bodyDiv w:val="1"/>
      <w:marLeft w:val="0"/>
      <w:marRight w:val="0"/>
      <w:marTop w:val="0"/>
      <w:marBottom w:val="0"/>
      <w:divBdr>
        <w:top w:val="none" w:sz="0" w:space="0" w:color="auto"/>
        <w:left w:val="none" w:sz="0" w:space="0" w:color="auto"/>
        <w:bottom w:val="none" w:sz="0" w:space="0" w:color="auto"/>
        <w:right w:val="none" w:sz="0" w:space="0" w:color="auto"/>
      </w:divBdr>
    </w:div>
    <w:div w:id="99700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Tran The</dc:creator>
  <cp:lastModifiedBy>NEW</cp:lastModifiedBy>
  <cp:revision>2</cp:revision>
  <cp:lastPrinted>2026-05-05T03:44:00Z</cp:lastPrinted>
  <dcterms:created xsi:type="dcterms:W3CDTF">2026-05-18T09:37:00Z</dcterms:created>
  <dcterms:modified xsi:type="dcterms:W3CDTF">2026-05-18T09:37:00Z</dcterms:modified>
</cp:coreProperties>
</file>